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CCCC6" w14:textId="77777777" w:rsidR="007B7282" w:rsidRDefault="00000000">
      <w:pPr>
        <w:rPr>
          <w:rFonts w:ascii="Avenir" w:eastAsia="Avenir" w:hAnsi="Avenir" w:cs="Avenir"/>
          <w:b/>
          <w:bCs/>
          <w:sz w:val="32"/>
          <w:szCs w:val="32"/>
        </w:rPr>
      </w:pPr>
      <w:r>
        <w:rPr>
          <w:rFonts w:ascii="Avenir" w:eastAsia="Avenir" w:hAnsi="Avenir" w:cs="Avenir"/>
          <w:b/>
          <w:bCs/>
          <w:sz w:val="32"/>
          <w:szCs w:val="32"/>
        </w:rPr>
        <w:t xml:space="preserve">Mezinárodní gastronomický průvodce </w:t>
      </w:r>
      <w:proofErr w:type="spellStart"/>
      <w:r>
        <w:rPr>
          <w:rFonts w:ascii="Avenir" w:eastAsia="Avenir" w:hAnsi="Avenir" w:cs="Avenir"/>
          <w:b/>
          <w:bCs/>
          <w:sz w:val="32"/>
          <w:szCs w:val="32"/>
        </w:rPr>
        <w:t>Gault&amp;Millau</w:t>
      </w:r>
      <w:proofErr w:type="spellEnd"/>
      <w:r>
        <w:rPr>
          <w:rFonts w:ascii="Avenir" w:eastAsia="Avenir" w:hAnsi="Avenir" w:cs="Avenir"/>
          <w:b/>
          <w:bCs/>
          <w:sz w:val="32"/>
          <w:szCs w:val="32"/>
        </w:rPr>
        <w:t xml:space="preserve"> podruhé hodnotil v Česku. „</w:t>
      </w:r>
      <w:proofErr w:type="spellStart"/>
      <w:r>
        <w:rPr>
          <w:rFonts w:ascii="Avenir" w:eastAsia="Avenir" w:hAnsi="Avenir" w:cs="Avenir"/>
          <w:b/>
          <w:bCs/>
          <w:sz w:val="32"/>
          <w:szCs w:val="32"/>
        </w:rPr>
        <w:t>Čtyřčepicových</w:t>
      </w:r>
      <w:proofErr w:type="spellEnd"/>
      <w:r>
        <w:rPr>
          <w:rFonts w:ascii="Avenir" w:eastAsia="Avenir" w:hAnsi="Avenir" w:cs="Avenir"/>
          <w:b/>
          <w:bCs/>
          <w:sz w:val="32"/>
          <w:szCs w:val="32"/>
        </w:rPr>
        <w:t>“ restaurací přibylo</w:t>
      </w:r>
    </w:p>
    <w:p w14:paraId="05E51B18" w14:textId="77777777" w:rsidR="007B7282" w:rsidRDefault="00000000">
      <w:pPr>
        <w:rPr>
          <w:rFonts w:ascii="Avenir" w:eastAsia="Avenir" w:hAnsi="Avenir" w:cs="Avenir"/>
          <w:b/>
          <w:bCs/>
          <w:i/>
          <w:iCs/>
          <w:sz w:val="22"/>
          <w:szCs w:val="22"/>
        </w:rPr>
      </w:pPr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 xml:space="preserve">Více oceněných restaurací než před rokem, nové trofeje pro gastronomické osobnosti i představení „hotelového“ </w:t>
      </w:r>
      <w:proofErr w:type="spellStart"/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>guide</w:t>
      </w:r>
      <w:proofErr w:type="spellEnd"/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>Stay</w:t>
      </w:r>
      <w:proofErr w:type="spellEnd"/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 xml:space="preserve"> &amp; Dine. Galavečer mezinárodního gastronomického průvodce </w:t>
      </w:r>
      <w:proofErr w:type="spellStart"/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b/>
          <w:bCs/>
          <w:i/>
          <w:iCs/>
          <w:sz w:val="22"/>
          <w:szCs w:val="22"/>
        </w:rPr>
        <w:t xml:space="preserve"> přinesl v pondělí 26. ledna v prostorách Národního domu na Vinohradech kromě očekávaného křtu vydání pro rok 2026 také řadu novinek.</w:t>
      </w:r>
    </w:p>
    <w:p w14:paraId="414D1D84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Historicky druhé vydání gastronomického průvodce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pro Česko zahrnuje celkem 421 hodnocených restaurací. Z nich se 334 podařilo dosáhnout na hodnocení alespoň 11 bodů z celkových 20, díky čemuž se mohou pyšnit prestižním symbolem kuchařské čepice. Autoři do bedekru také zařadili 146 podniků v kategorii POP. Ty sice nejsou inspektory hodnoceny, ale průvodce je zmiňuje jako zajímavá místa k navštívení.</w:t>
      </w:r>
    </w:p>
    <w:p w14:paraId="46723AD4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noProof/>
          <w:sz w:val="22"/>
          <w:szCs w:val="22"/>
        </w:rPr>
        <w:drawing>
          <wp:inline distT="114300" distB="114300" distL="114300" distR="114300" wp14:anchorId="51ADFC6C" wp14:editId="1AB994ED">
            <wp:extent cx="5759140" cy="4089400"/>
            <wp:effectExtent l="0" t="0" r="0" b="0"/>
            <wp:docPr id="863202869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140" cy="408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47A3BE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Ani letos nedosáhla žádná česká restaurace na nejvyšší možné ohodnocení pěti čepicemi. Čtyři čepice však získaly hned tři podniky – kromě loňského </w:t>
      </w:r>
      <w:proofErr w:type="spellStart"/>
      <w:r>
        <w:rPr>
          <w:rFonts w:ascii="Avenir" w:eastAsia="Avenir" w:hAnsi="Avenir" w:cs="Avenir"/>
          <w:sz w:val="22"/>
          <w:szCs w:val="22"/>
        </w:rPr>
        <w:t>čtyřčepicového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„jedináčka“, Restaurantu </w:t>
      </w:r>
      <w:proofErr w:type="spellStart"/>
      <w:r>
        <w:rPr>
          <w:rFonts w:ascii="Avenir" w:eastAsia="Avenir" w:hAnsi="Avenir" w:cs="Avenir"/>
          <w:sz w:val="22"/>
          <w:szCs w:val="22"/>
        </w:rPr>
        <w:t>Papilio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to tentokrát byly také LEVITATE a La </w:t>
      </w:r>
      <w:proofErr w:type="spellStart"/>
      <w:r>
        <w:rPr>
          <w:rFonts w:ascii="Avenir" w:eastAsia="Avenir" w:hAnsi="Avenir" w:cs="Avenir"/>
          <w:sz w:val="22"/>
          <w:szCs w:val="22"/>
        </w:rPr>
        <w:t>Degustation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Bohême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Bourgeoise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. </w:t>
      </w:r>
    </w:p>
    <w:p w14:paraId="026189DE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Restaurací oceněných třemi čepicemi bylo 17: Restaurant </w:t>
      </w:r>
      <w:proofErr w:type="spellStart"/>
      <w:r>
        <w:rPr>
          <w:rFonts w:ascii="Avenir" w:eastAsia="Avenir" w:hAnsi="Avenir" w:cs="Avenir"/>
          <w:sz w:val="22"/>
          <w:szCs w:val="22"/>
        </w:rPr>
        <w:t>Essens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Štangl, </w:t>
      </w:r>
      <w:proofErr w:type="spellStart"/>
      <w:r>
        <w:rPr>
          <w:rFonts w:ascii="Avenir" w:eastAsia="Avenir" w:hAnsi="Avenir" w:cs="Avenir"/>
          <w:sz w:val="22"/>
          <w:szCs w:val="22"/>
        </w:rPr>
        <w:t>Salabka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TARO, Dejvická 34 by Tomáš Černý, STŮL, Zlatá Praha, 420 Restaurant, Augustine Restaurant, </w:t>
      </w:r>
      <w:proofErr w:type="spellStart"/>
      <w:r>
        <w:rPr>
          <w:rFonts w:ascii="Avenir" w:eastAsia="Avenir" w:hAnsi="Avenir" w:cs="Avenir"/>
          <w:sz w:val="22"/>
          <w:szCs w:val="22"/>
        </w:rPr>
        <w:t>Borgo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Agnese, </w:t>
      </w:r>
      <w:proofErr w:type="spellStart"/>
      <w:r>
        <w:rPr>
          <w:rFonts w:ascii="Avenir" w:eastAsia="Avenir" w:hAnsi="Avenir" w:cs="Avenir"/>
          <w:sz w:val="22"/>
          <w:szCs w:val="22"/>
        </w:rPr>
        <w:t>Field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Restaurant, La </w:t>
      </w:r>
      <w:proofErr w:type="spellStart"/>
      <w:r>
        <w:rPr>
          <w:rFonts w:ascii="Avenir" w:eastAsia="Avenir" w:hAnsi="Avenir" w:cs="Avenir"/>
          <w:sz w:val="22"/>
          <w:szCs w:val="22"/>
        </w:rPr>
        <w:t>Finestra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in </w:t>
      </w:r>
      <w:proofErr w:type="spellStart"/>
      <w:r>
        <w:rPr>
          <w:rFonts w:ascii="Avenir" w:eastAsia="Avenir" w:hAnsi="Avenir" w:cs="Avenir"/>
          <w:sz w:val="22"/>
          <w:szCs w:val="22"/>
        </w:rPr>
        <w:t>Cucina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</w:t>
      </w:r>
      <w:proofErr w:type="spellStart"/>
      <w:r>
        <w:rPr>
          <w:rFonts w:ascii="Avenir" w:eastAsia="Avenir" w:hAnsi="Avenir" w:cs="Avenir"/>
          <w:sz w:val="22"/>
          <w:szCs w:val="22"/>
        </w:rPr>
        <w:t>Mlýnec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</w:t>
      </w:r>
      <w:proofErr w:type="spellStart"/>
      <w:r>
        <w:rPr>
          <w:rFonts w:ascii="Avenir" w:eastAsia="Avenir" w:hAnsi="Avenir" w:cs="Avenir"/>
          <w:sz w:val="22"/>
          <w:szCs w:val="22"/>
        </w:rPr>
        <w:t>Monastiq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Restaurant, Pot au </w:t>
      </w:r>
      <w:proofErr w:type="spellStart"/>
      <w:r>
        <w:rPr>
          <w:rFonts w:ascii="Avenir" w:eastAsia="Avenir" w:hAnsi="Avenir" w:cs="Avenir"/>
          <w:sz w:val="22"/>
          <w:szCs w:val="22"/>
        </w:rPr>
        <w:t>Feu</w:t>
      </w:r>
      <w:proofErr w:type="spellEnd"/>
      <w:r>
        <w:rPr>
          <w:rFonts w:ascii="Avenir" w:eastAsia="Avenir" w:hAnsi="Avenir" w:cs="Avenir"/>
          <w:sz w:val="22"/>
          <w:szCs w:val="22"/>
        </w:rPr>
        <w:t>, Terasa U Zlaté studně a TRITON Restaurant.</w:t>
      </w:r>
    </w:p>
    <w:p w14:paraId="72F2B4F4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  <w:highlight w:val="yellow"/>
        </w:rPr>
      </w:pPr>
      <w:r>
        <w:rPr>
          <w:rFonts w:ascii="Avenir" w:eastAsia="Avenir" w:hAnsi="Avenir" w:cs="Avenir"/>
          <w:i/>
          <w:iCs/>
          <w:sz w:val="22"/>
          <w:szCs w:val="22"/>
        </w:rPr>
        <w:t xml:space="preserve">„Inspektoři museli v uplynulém roce nejen znovu zhodnotit podniky z předešlého vydání, ale také řadu nových, které ještě nestihli navštívit, nebo se nově otevřely a přišly nám zajímavé. Celková čísla i počet </w:t>
      </w:r>
      <w:r>
        <w:rPr>
          <w:rFonts w:ascii="Avenir" w:eastAsia="Avenir" w:hAnsi="Avenir" w:cs="Avenir"/>
          <w:i/>
          <w:iCs/>
          <w:sz w:val="22"/>
          <w:szCs w:val="22"/>
        </w:rPr>
        <w:lastRenderedPageBreak/>
        <w:t>nových restaurací v těch nejvyšších patrech jasně hovoří o tom, že česká gastronomie má hostům z tuzemska i zahraničí skutečně co nabídnout. Při práci jasně vidíme, že si našich podniků a šéfkuchařů začíná zahraničí v různých podobách všímat, což je skvělé,“</w:t>
      </w:r>
      <w:r>
        <w:rPr>
          <w:rFonts w:ascii="Avenir" w:eastAsia="Avenir" w:hAnsi="Avenir" w:cs="Avenir"/>
          <w:sz w:val="22"/>
          <w:szCs w:val="22"/>
        </w:rPr>
        <w:t xml:space="preserve"> uvedl k podobě letošního vydání gastronomického průvodce Miroslav Lekeš, šéfinspektor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pro Česko a CEO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pro Česko, Slovensko, Maďarsko a Itálii.</w:t>
      </w:r>
    </w:p>
    <w:p w14:paraId="6414F465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Organizátoři z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na galavečeru předali trofeje výjimečným osobnostem či podnikům české gastronomie hned v osmi kategoriích. Šéfkuchařem roku 2026 se stal Oldřich </w:t>
      </w:r>
      <w:proofErr w:type="spellStart"/>
      <w:r>
        <w:rPr>
          <w:rFonts w:ascii="Avenir" w:eastAsia="Avenir" w:hAnsi="Avenir" w:cs="Avenir"/>
          <w:sz w:val="22"/>
          <w:szCs w:val="22"/>
        </w:rPr>
        <w:t>Sahajdák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</w:t>
      </w:r>
      <w:proofErr w:type="spellStart"/>
      <w:r>
        <w:rPr>
          <w:rFonts w:ascii="Avenir" w:eastAsia="Avenir" w:hAnsi="Avenir" w:cs="Avenir"/>
          <w:sz w:val="22"/>
          <w:szCs w:val="22"/>
        </w:rPr>
        <w:t>chef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patron restaurace La </w:t>
      </w:r>
      <w:proofErr w:type="spellStart"/>
      <w:r>
        <w:rPr>
          <w:rFonts w:ascii="Avenir" w:eastAsia="Avenir" w:hAnsi="Avenir" w:cs="Avenir"/>
          <w:sz w:val="22"/>
          <w:szCs w:val="22"/>
        </w:rPr>
        <w:t>Degustation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Bohême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Bourgeoise</w:t>
      </w:r>
      <w:proofErr w:type="spellEnd"/>
      <w:r>
        <w:rPr>
          <w:rFonts w:ascii="Avenir" w:eastAsia="Avenir" w:hAnsi="Avenir" w:cs="Avenir"/>
          <w:sz w:val="22"/>
          <w:szCs w:val="22"/>
        </w:rPr>
        <w:t>. Šéfkuchařem zítřka je Khanh Ta (TARO), Mladým talentem roku Jan Horák (</w:t>
      </w:r>
      <w:proofErr w:type="spellStart"/>
      <w:r>
        <w:rPr>
          <w:rFonts w:ascii="Avenir" w:eastAsia="Avenir" w:hAnsi="Avenir" w:cs="Avenir"/>
          <w:sz w:val="22"/>
          <w:szCs w:val="22"/>
        </w:rPr>
        <w:t>Reason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), Cukrářkou roku Sabina </w:t>
      </w:r>
      <w:proofErr w:type="spellStart"/>
      <w:r>
        <w:rPr>
          <w:rFonts w:ascii="Avenir" w:eastAsia="Avenir" w:hAnsi="Avenir" w:cs="Avenir"/>
          <w:sz w:val="22"/>
          <w:szCs w:val="22"/>
        </w:rPr>
        <w:t>Keltnerová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(Štangl), Someliérem roku Vít Eliáš (Zlatá Praha), Šéfkuchařem tradiční kuchyně Jiří Hrachový (Výčep), </w:t>
      </w:r>
      <w:proofErr w:type="spellStart"/>
      <w:r>
        <w:rPr>
          <w:rFonts w:ascii="Avenir" w:eastAsia="Avenir" w:hAnsi="Avenir" w:cs="Avenir"/>
          <w:sz w:val="22"/>
          <w:szCs w:val="22"/>
        </w:rPr>
        <w:t>POPem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roku kavárna a bistro DOK v Liberci a </w:t>
      </w:r>
      <w:proofErr w:type="spellStart"/>
      <w:r>
        <w:rPr>
          <w:rFonts w:ascii="Avenir" w:eastAsia="Avenir" w:hAnsi="Avenir" w:cs="Avenir"/>
          <w:sz w:val="22"/>
          <w:szCs w:val="22"/>
        </w:rPr>
        <w:t>Gourmet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hotelem roku </w:t>
      </w:r>
      <w:proofErr w:type="spellStart"/>
      <w:r>
        <w:rPr>
          <w:rFonts w:ascii="Avenir" w:eastAsia="Avenir" w:hAnsi="Avenir" w:cs="Avenir"/>
          <w:sz w:val="22"/>
          <w:szCs w:val="22"/>
        </w:rPr>
        <w:t>Fairmont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Golden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Prague.</w:t>
      </w:r>
    </w:p>
    <w:p w14:paraId="12F0ABEC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Uvedená ocenění jsou prestižním uznáním práce těchto gastronomických profesionálů. </w:t>
      </w:r>
      <w:r>
        <w:rPr>
          <w:rFonts w:ascii="Avenir" w:eastAsia="Avenir" w:hAnsi="Avenir" w:cs="Avenir"/>
          <w:i/>
          <w:iCs/>
          <w:sz w:val="22"/>
          <w:szCs w:val="22"/>
        </w:rPr>
        <w:t>„Je to výraz důvěry, odborné pozornosti a respektu, což je v našem oboru nesmírně cenné. Zároveň jde o silný moment pro celý tým, protože gastronomie je kolektivní disciplína. Celý rok po získání titulu Šéfkuchař roku přinesl profesní posun a vyšší míru zodpovědnosti. Znamenalo to ještě silnější důraz na detail, stabilitu a růst týmu. Otevřely se dveře novým spolupracím, talentům i očekáváním hostů. Za nejvyšší hodnotu považuji motivaci mě i celého týmu posouvat hranici toho, co může moderní česká kuchyně nabídnout,“</w:t>
      </w:r>
      <w:r>
        <w:rPr>
          <w:rFonts w:ascii="Avenir" w:eastAsia="Avenir" w:hAnsi="Avenir" w:cs="Avenir"/>
          <w:sz w:val="22"/>
          <w:szCs w:val="22"/>
        </w:rPr>
        <w:t xml:space="preserve"> zhodnotil přínos svého loňského ocenění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Šéfkuchař roku 2025 Jan Knedla z restaurace </w:t>
      </w:r>
      <w:proofErr w:type="spellStart"/>
      <w:r>
        <w:rPr>
          <w:rFonts w:ascii="Avenir" w:eastAsia="Avenir" w:hAnsi="Avenir" w:cs="Avenir"/>
          <w:sz w:val="22"/>
          <w:szCs w:val="22"/>
        </w:rPr>
        <w:t>Papilio</w:t>
      </w:r>
      <w:proofErr w:type="spellEnd"/>
      <w:r>
        <w:rPr>
          <w:rFonts w:ascii="Avenir" w:eastAsia="Avenir" w:hAnsi="Avenir" w:cs="Avenir"/>
          <w:sz w:val="22"/>
          <w:szCs w:val="22"/>
        </w:rPr>
        <w:t>.</w:t>
      </w:r>
    </w:p>
    <w:p w14:paraId="36003F6C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Generálním partnerem průvodce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v Česku je společnost MAKRO Cash &amp; Carry ČR. </w:t>
      </w:r>
      <w:r>
        <w:rPr>
          <w:rFonts w:ascii="Avenir" w:eastAsia="Avenir" w:hAnsi="Avenir" w:cs="Avenir"/>
          <w:i/>
          <w:iCs/>
          <w:sz w:val="22"/>
          <w:szCs w:val="22"/>
        </w:rPr>
        <w:t xml:space="preserve">„Počet oceněných podniků v průvodci </w:t>
      </w:r>
      <w:proofErr w:type="spellStart"/>
      <w:r>
        <w:rPr>
          <w:rFonts w:ascii="Avenir" w:eastAsia="Avenir" w:hAnsi="Avenir" w:cs="Avenir"/>
          <w:i/>
          <w:iCs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i/>
          <w:iCs/>
          <w:sz w:val="22"/>
          <w:szCs w:val="22"/>
        </w:rPr>
        <w:t xml:space="preserve"> potvrzuje, že česká gastronomie dosáhla vysoké úrovně a umí ji dlouhodobě udržet. Letošní výsledky zároveň ukazují, že kvalita je patrná napříč celým gastronomickým spektrem – od autorské kuchyně přes silné regionální restaurace až po nové koncepty, které reagují na proměny ve stravování i očekávání hostů. Jsme hrdí, že jako makro ČR můžeme už 29 let stát po boku tohoto vývoje – od každodenní práce v kuchyních až po tyto vrcholné okamžiky,“</w:t>
      </w:r>
      <w:r>
        <w:rPr>
          <w:rFonts w:ascii="Avenir" w:eastAsia="Avenir" w:hAnsi="Avenir" w:cs="Avenir"/>
          <w:sz w:val="22"/>
          <w:szCs w:val="22"/>
        </w:rPr>
        <w:t xml:space="preserve"> prohlásil Jiří Nehasil, generální ředitel makro ČR.</w:t>
      </w:r>
    </w:p>
    <w:p w14:paraId="428DDF09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sz w:val="22"/>
          <w:szCs w:val="22"/>
        </w:rPr>
        <w:t xml:space="preserve">Kromě „žlutého“ průvodce po nejlepších tuzemských restauracích představil tým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nově i „modrou“ publikaci zaměřenou na hotelové zážitky, pojmenovanou </w:t>
      </w:r>
      <w:proofErr w:type="spellStart"/>
      <w:r>
        <w:rPr>
          <w:rFonts w:ascii="Avenir" w:eastAsia="Avenir" w:hAnsi="Avenir" w:cs="Avenir"/>
          <w:sz w:val="22"/>
          <w:szCs w:val="22"/>
        </w:rPr>
        <w:t>Stay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&amp; Dine. Společným jmenovatelem všech 176 míst zařazených do tohoto průvodce je ubytování v určité kvalitě a současně přítomnost restaurace, která úspěšně prošla nezávislým hodnocením tajných inspektorů a získala minimálně 10 bodů. Smyslem publikace je mimo jiné také poukázat na význam hotelových restaurací, které jsou v českém prostředí nedoceněným gastronomickým segmentem.</w:t>
      </w:r>
    </w:p>
    <w:p w14:paraId="57B23D13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i/>
          <w:iCs/>
          <w:sz w:val="22"/>
          <w:szCs w:val="22"/>
        </w:rPr>
        <w:t xml:space="preserve">„Dnešní ocenění </w:t>
      </w:r>
      <w:proofErr w:type="spellStart"/>
      <w:r>
        <w:rPr>
          <w:rFonts w:ascii="Avenir" w:eastAsia="Avenir" w:hAnsi="Avenir" w:cs="Avenir"/>
          <w:i/>
          <w:iCs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i/>
          <w:iCs/>
          <w:sz w:val="22"/>
          <w:szCs w:val="22"/>
        </w:rPr>
        <w:t xml:space="preserve"> znovu potvrzují, že česká gastronomie patří ke špičce a významně zvyšuje atraktivitu země jako turistické destinace. Krásná příroda, bohatá kultura, autentické regiony a silná tradice společně vytvářejí jedinečný zážitek, který přitahuje návštěvníky z celého světa a má velmi pozitivní dopad na cestovní ruch. Gastro k cestování neodmyslitelně patří. I proto </w:t>
      </w:r>
      <w:proofErr w:type="spellStart"/>
      <w:r>
        <w:rPr>
          <w:rFonts w:ascii="Avenir" w:eastAsia="Avenir" w:hAnsi="Avenir" w:cs="Avenir"/>
          <w:i/>
          <w:iCs/>
          <w:sz w:val="22"/>
          <w:szCs w:val="22"/>
        </w:rPr>
        <w:t>CzechTourism</w:t>
      </w:r>
      <w:proofErr w:type="spellEnd"/>
      <w:r>
        <w:rPr>
          <w:rFonts w:ascii="Avenir" w:eastAsia="Avenir" w:hAnsi="Avenir" w:cs="Avenir"/>
          <w:i/>
          <w:iCs/>
          <w:sz w:val="22"/>
          <w:szCs w:val="22"/>
        </w:rPr>
        <w:t xml:space="preserve"> dlouhodobě podporuje českou kuchyni prostřednictvím projektu</w:t>
      </w:r>
      <w:hyperlink r:id="rId8">
        <w:r>
          <w:rPr>
            <w:rFonts w:ascii="Avenir" w:eastAsia="Avenir" w:hAnsi="Avenir" w:cs="Avenir"/>
            <w:i/>
            <w:iCs/>
            <w:sz w:val="22"/>
            <w:szCs w:val="22"/>
          </w:rPr>
          <w:t xml:space="preserve"> </w:t>
        </w:r>
      </w:hyperlink>
      <w:hyperlink r:id="rId9">
        <w:r>
          <w:rPr>
            <w:rFonts w:ascii="Avenir" w:eastAsia="Avenir" w:hAnsi="Avenir" w:cs="Avenir"/>
            <w:i/>
            <w:iCs/>
            <w:color w:val="467886"/>
            <w:sz w:val="22"/>
            <w:szCs w:val="22"/>
            <w:u w:val="single"/>
          </w:rPr>
          <w:t xml:space="preserve">Czech </w:t>
        </w:r>
        <w:proofErr w:type="spellStart"/>
        <w:r>
          <w:rPr>
            <w:rFonts w:ascii="Avenir" w:eastAsia="Avenir" w:hAnsi="Avenir" w:cs="Avenir"/>
            <w:i/>
            <w:iCs/>
            <w:color w:val="467886"/>
            <w:sz w:val="22"/>
            <w:szCs w:val="22"/>
            <w:u w:val="single"/>
          </w:rPr>
          <w:t>Specials</w:t>
        </w:r>
        <w:proofErr w:type="spellEnd"/>
      </w:hyperlink>
      <w:r>
        <w:rPr>
          <w:rFonts w:ascii="Avenir" w:eastAsia="Avenir" w:hAnsi="Avenir" w:cs="Avenir"/>
          <w:i/>
          <w:iCs/>
          <w:sz w:val="22"/>
          <w:szCs w:val="22"/>
        </w:rPr>
        <w:t xml:space="preserve">, který ukazuje, že naše jídlo může být kvalitní, moderní, a přitom věrné svým kořenům,“ </w:t>
      </w:r>
      <w:r>
        <w:rPr>
          <w:rFonts w:ascii="Avenir" w:eastAsia="Avenir" w:hAnsi="Avenir" w:cs="Avenir"/>
          <w:sz w:val="22"/>
          <w:szCs w:val="22"/>
        </w:rPr>
        <w:t xml:space="preserve">dodal ředitel České centrály cestovního </w:t>
      </w:r>
      <w:proofErr w:type="gramStart"/>
      <w:r>
        <w:rPr>
          <w:rFonts w:ascii="Avenir" w:eastAsia="Avenir" w:hAnsi="Avenir" w:cs="Avenir"/>
          <w:sz w:val="22"/>
          <w:szCs w:val="22"/>
        </w:rPr>
        <w:t xml:space="preserve">ruchu - </w:t>
      </w:r>
      <w:proofErr w:type="spellStart"/>
      <w:r>
        <w:rPr>
          <w:rFonts w:ascii="Avenir" w:eastAsia="Avenir" w:hAnsi="Avenir" w:cs="Avenir"/>
          <w:sz w:val="22"/>
          <w:szCs w:val="22"/>
        </w:rPr>
        <w:t>CzechTourism</w:t>
      </w:r>
      <w:proofErr w:type="spellEnd"/>
      <w:proofErr w:type="gramEnd"/>
      <w:r>
        <w:rPr>
          <w:rFonts w:ascii="Avenir" w:eastAsia="Avenir" w:hAnsi="Avenir" w:cs="Avenir"/>
          <w:sz w:val="22"/>
          <w:szCs w:val="22"/>
        </w:rPr>
        <w:t xml:space="preserve"> František </w:t>
      </w:r>
      <w:proofErr w:type="spellStart"/>
      <w:r>
        <w:rPr>
          <w:rFonts w:ascii="Avenir" w:eastAsia="Avenir" w:hAnsi="Avenir" w:cs="Avenir"/>
          <w:sz w:val="22"/>
          <w:szCs w:val="22"/>
        </w:rPr>
        <w:t>Reismüller</w:t>
      </w:r>
      <w:proofErr w:type="spellEnd"/>
      <w:r>
        <w:rPr>
          <w:rFonts w:ascii="Avenir" w:eastAsia="Avenir" w:hAnsi="Avenir" w:cs="Avenir"/>
          <w:sz w:val="22"/>
          <w:szCs w:val="22"/>
        </w:rPr>
        <w:t>.</w:t>
      </w:r>
    </w:p>
    <w:p w14:paraId="6BDDF5D0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se za první rok působení v Česku kromě vydání průvodce spojil také s několika tuzemskými </w:t>
      </w:r>
      <w:proofErr w:type="spellStart"/>
      <w:r>
        <w:rPr>
          <w:rFonts w:ascii="Avenir" w:eastAsia="Avenir" w:hAnsi="Avenir" w:cs="Avenir"/>
          <w:sz w:val="22"/>
          <w:szCs w:val="22"/>
        </w:rPr>
        <w:t>gastrofestivaly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kam pod svou záštitou přivezl evropská </w:t>
      </w:r>
      <w:proofErr w:type="spellStart"/>
      <w:r>
        <w:rPr>
          <w:rFonts w:ascii="Avenir" w:eastAsia="Avenir" w:hAnsi="Avenir" w:cs="Avenir"/>
          <w:sz w:val="22"/>
          <w:szCs w:val="22"/>
        </w:rPr>
        <w:t>šéfkuchařská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esa, jimiž byli například Martino </w:t>
      </w:r>
      <w:proofErr w:type="spellStart"/>
      <w:r>
        <w:rPr>
          <w:rFonts w:ascii="Avenir" w:eastAsia="Avenir" w:hAnsi="Avenir" w:cs="Avenir"/>
          <w:sz w:val="22"/>
          <w:szCs w:val="22"/>
        </w:rPr>
        <w:t>Ruggieri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z pařížského </w:t>
      </w:r>
      <w:proofErr w:type="spellStart"/>
      <w:r>
        <w:rPr>
          <w:rFonts w:ascii="Avenir" w:eastAsia="Avenir" w:hAnsi="Avenir" w:cs="Avenir"/>
          <w:sz w:val="22"/>
          <w:szCs w:val="22"/>
        </w:rPr>
        <w:t>Maison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Ruggieri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nebo Stefan Doubek, držitel čtyř čepic z </w:t>
      </w:r>
      <w:r>
        <w:rPr>
          <w:rFonts w:ascii="Avenir" w:eastAsia="Avenir" w:hAnsi="Avenir" w:cs="Avenir"/>
          <w:sz w:val="22"/>
          <w:szCs w:val="22"/>
        </w:rPr>
        <w:lastRenderedPageBreak/>
        <w:t xml:space="preserve">Vídně. V říjnu na eventu nazvaném </w:t>
      </w:r>
      <w:proofErr w:type="spellStart"/>
      <w:r>
        <w:rPr>
          <w:rFonts w:ascii="Avenir" w:eastAsia="Avenir" w:hAnsi="Avenir" w:cs="Avenir"/>
          <w:sz w:val="22"/>
          <w:szCs w:val="22"/>
        </w:rPr>
        <w:t>Dinner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of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the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Year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ukázal prostřednictvím držitelů trofejí Šéfkuchař roku nejvyšší úroveň gastronomie Česka a Slovenska. Letos </w:t>
      </w:r>
      <w:proofErr w:type="spellStart"/>
      <w:r>
        <w:rPr>
          <w:rFonts w:ascii="Avenir" w:eastAsia="Avenir" w:hAnsi="Avenir" w:cs="Avenir"/>
          <w:sz w:val="22"/>
          <w:szCs w:val="22"/>
        </w:rPr>
        <w:t>Gault&amp;Millau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připravuje v Brně v termínu 23. a 24. května v tuzemsku naprosto nový a ojedinělý formát eventu pro širší veřejnost s názvem </w:t>
      </w:r>
      <w:proofErr w:type="spellStart"/>
      <w:r>
        <w:rPr>
          <w:rFonts w:ascii="Avenir" w:eastAsia="Avenir" w:hAnsi="Avenir" w:cs="Avenir"/>
          <w:sz w:val="22"/>
          <w:szCs w:val="22"/>
        </w:rPr>
        <w:t>Culinary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Affair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, jehož ústředním tématem bude </w:t>
      </w:r>
      <w:proofErr w:type="spellStart"/>
      <w:r>
        <w:rPr>
          <w:rFonts w:ascii="Avenir" w:eastAsia="Avenir" w:hAnsi="Avenir" w:cs="Avenir"/>
          <w:sz w:val="22"/>
          <w:szCs w:val="22"/>
        </w:rPr>
        <w:t>pairing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neboli umění párování chutí. Návštěvníci tak poprvé zažijí v Česku to nejlepší z české, slovenské a maďarské kulinářské scény na jednom místě, navíc s účastí zajímavých gastronomických osobností také z dalších zemí.</w:t>
      </w:r>
    </w:p>
    <w:p w14:paraId="3D2C2CB1" w14:textId="77777777" w:rsidR="007B7282" w:rsidRDefault="007B7282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</w:p>
    <w:p w14:paraId="62BB4D27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b/>
          <w:bCs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>Medailonky oceněných osobností a míst</w:t>
      </w:r>
    </w:p>
    <w:p w14:paraId="468BBC9D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 xml:space="preserve">Šéfkuchař roku Oldřich </w:t>
      </w:r>
      <w:proofErr w:type="spellStart"/>
      <w:r>
        <w:rPr>
          <w:rFonts w:ascii="Avenir" w:eastAsia="Avenir" w:hAnsi="Avenir" w:cs="Avenir"/>
          <w:b/>
          <w:bCs/>
          <w:sz w:val="22"/>
          <w:szCs w:val="22"/>
        </w:rPr>
        <w:t>Sahajdák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– Jeden z nejvýraznějších českých šéfkuchařů, jenž odvádí konzistentní práci na nejvyšší možné úrovni. Od roku 1997 působí ve skupině Ambiente, je spoluzakladatelem restaurace La </w:t>
      </w:r>
      <w:proofErr w:type="spellStart"/>
      <w:r>
        <w:rPr>
          <w:rFonts w:ascii="Avenir" w:eastAsia="Avenir" w:hAnsi="Avenir" w:cs="Avenir"/>
          <w:sz w:val="22"/>
          <w:szCs w:val="22"/>
        </w:rPr>
        <w:t>Degustation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Bohême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Bourgeoise</w:t>
      </w:r>
      <w:proofErr w:type="spellEnd"/>
      <w:r>
        <w:rPr>
          <w:rFonts w:ascii="Avenir" w:eastAsia="Avenir" w:hAnsi="Avenir" w:cs="Avenir"/>
          <w:sz w:val="22"/>
          <w:szCs w:val="22"/>
        </w:rPr>
        <w:t>. Jeho filozofií je jídlo autentické, precizní a inspirované dětstvím.</w:t>
      </w:r>
    </w:p>
    <w:p w14:paraId="79CFBF01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 xml:space="preserve">Šéfkuchař zítřka Khanh Ta </w:t>
      </w:r>
      <w:r>
        <w:rPr>
          <w:rFonts w:ascii="Avenir" w:eastAsia="Avenir" w:hAnsi="Avenir" w:cs="Avenir"/>
          <w:sz w:val="22"/>
          <w:szCs w:val="22"/>
        </w:rPr>
        <w:t xml:space="preserve">– </w:t>
      </w:r>
      <w:proofErr w:type="spellStart"/>
      <w:r>
        <w:rPr>
          <w:rFonts w:ascii="Avenir" w:eastAsia="Avenir" w:hAnsi="Avenir" w:cs="Avenir"/>
          <w:sz w:val="22"/>
          <w:szCs w:val="22"/>
        </w:rPr>
        <w:t>Executive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chef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stojící za recepty jídel, koncepcí menu a řízením šéfkuchařů v restauracích, které vlastní společně s bratrem. Odkrývá krásu vysoké vietnamské gastronomie, když propojuje tradiční kuchyni s fine </w:t>
      </w:r>
      <w:proofErr w:type="spellStart"/>
      <w:r>
        <w:rPr>
          <w:rFonts w:ascii="Avenir" w:eastAsia="Avenir" w:hAnsi="Avenir" w:cs="Avenir"/>
          <w:sz w:val="22"/>
          <w:szCs w:val="22"/>
        </w:rPr>
        <w:t>diningovým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zážitkem. Neustále se posouvá a dokazuje, jak je gastronomie jako celek živá.</w:t>
      </w:r>
    </w:p>
    <w:p w14:paraId="31DF7FC0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>Mladý talent roku Jan Horák</w:t>
      </w:r>
      <w:r>
        <w:rPr>
          <w:rFonts w:ascii="Avenir" w:eastAsia="Avenir" w:hAnsi="Avenir" w:cs="Avenir"/>
          <w:sz w:val="22"/>
          <w:szCs w:val="22"/>
        </w:rPr>
        <w:t xml:space="preserve"> – Zakladatel, spolumajitel a šéfkuchař pražské restaurace </w:t>
      </w:r>
      <w:proofErr w:type="spellStart"/>
      <w:r>
        <w:rPr>
          <w:rFonts w:ascii="Avenir" w:eastAsia="Avenir" w:hAnsi="Avenir" w:cs="Avenir"/>
          <w:sz w:val="22"/>
          <w:szCs w:val="22"/>
        </w:rPr>
        <w:t>Reason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spojuje vysokou gastronomii s udržitelností, kreativitou a volností. Nebojí se odvážných chutí a prezentací, odvedl spoustu práce při rozvoji mladých kuchařských nadějí.</w:t>
      </w:r>
    </w:p>
    <w:p w14:paraId="6634C24A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 xml:space="preserve">Cukrářka roku Sabina </w:t>
      </w:r>
      <w:proofErr w:type="spellStart"/>
      <w:r>
        <w:rPr>
          <w:rFonts w:ascii="Avenir" w:eastAsia="Avenir" w:hAnsi="Avenir" w:cs="Avenir"/>
          <w:b/>
          <w:bCs/>
          <w:sz w:val="22"/>
          <w:szCs w:val="22"/>
        </w:rPr>
        <w:t>Keltnerová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– Stará se o sladká jídla v restauraci Štangl. Její specialitou jsou ručně vyráběné pralinky. Ve své tvorbě kombinuje důvěrně známé chutě s nápaditým podáním a klade důraz na estetiku, kvalitu surovin a příběh.</w:t>
      </w:r>
    </w:p>
    <w:p w14:paraId="110E6D0C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 xml:space="preserve">Someliér roku Vít Eliáš </w:t>
      </w:r>
      <w:r>
        <w:rPr>
          <w:rFonts w:ascii="Avenir" w:eastAsia="Avenir" w:hAnsi="Avenir" w:cs="Avenir"/>
          <w:sz w:val="22"/>
          <w:szCs w:val="22"/>
        </w:rPr>
        <w:t xml:space="preserve">– Autor vinné filozofie restaurace Zlatá Praha a kurátor tamní exkluzivní </w:t>
      </w:r>
      <w:proofErr w:type="spellStart"/>
      <w:r>
        <w:rPr>
          <w:rFonts w:ascii="Avenir" w:eastAsia="Avenir" w:hAnsi="Avenir" w:cs="Avenir"/>
          <w:sz w:val="22"/>
          <w:szCs w:val="22"/>
        </w:rPr>
        <w:t>walk</w:t>
      </w:r>
      <w:proofErr w:type="spellEnd"/>
      <w:r>
        <w:rPr>
          <w:rFonts w:ascii="Avenir" w:eastAsia="Avenir" w:hAnsi="Avenir" w:cs="Avenir"/>
          <w:sz w:val="22"/>
          <w:szCs w:val="22"/>
        </w:rPr>
        <w:t>-in vinotéky. Jeho ambicí je vytvořit nejlepší vinný lístek v Česku. Vyniká profesionalitou, hlubokou znalostí vína a schopností vytvořit harmonii mezi chutí, příběhem a zážitkem.</w:t>
      </w:r>
    </w:p>
    <w:p w14:paraId="717A28DE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>Šéfkuchař tradiční kuchyně Jiří Hrachový</w:t>
      </w:r>
      <w:r>
        <w:rPr>
          <w:rFonts w:ascii="Avenir" w:eastAsia="Avenir" w:hAnsi="Avenir" w:cs="Avenir"/>
          <w:sz w:val="22"/>
          <w:szCs w:val="22"/>
        </w:rPr>
        <w:t xml:space="preserve"> – Spolumajitel a </w:t>
      </w:r>
      <w:proofErr w:type="spellStart"/>
      <w:r>
        <w:rPr>
          <w:rFonts w:ascii="Avenir" w:eastAsia="Avenir" w:hAnsi="Avenir" w:cs="Avenir"/>
          <w:sz w:val="22"/>
          <w:szCs w:val="22"/>
        </w:rPr>
        <w:t>executive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sz w:val="22"/>
          <w:szCs w:val="22"/>
        </w:rPr>
        <w:t>chef</w:t>
      </w:r>
      <w:proofErr w:type="spellEnd"/>
      <w:r>
        <w:rPr>
          <w:rFonts w:ascii="Avenir" w:eastAsia="Avenir" w:hAnsi="Avenir" w:cs="Avenir"/>
          <w:sz w:val="22"/>
          <w:szCs w:val="22"/>
        </w:rPr>
        <w:t xml:space="preserve"> restaurace Výčep, kde si vyrábí vlastní chléb, sýry, uzeniny, bylinkové oleje i uzený kečup. Bez ztráty autenticity modernizuje klasické české recepty. Jeho práce přispívá ke zvyšování povědomí o české kuchyni na mezinárodní scéně.</w:t>
      </w:r>
    </w:p>
    <w:p w14:paraId="767EBFBC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r>
        <w:rPr>
          <w:rFonts w:ascii="Avenir" w:eastAsia="Avenir" w:hAnsi="Avenir" w:cs="Avenir"/>
          <w:b/>
          <w:bCs/>
          <w:sz w:val="22"/>
          <w:szCs w:val="22"/>
        </w:rPr>
        <w:t>POP roku DOK</w:t>
      </w:r>
      <w:r>
        <w:rPr>
          <w:rFonts w:ascii="Avenir" w:eastAsia="Avenir" w:hAnsi="Avenir" w:cs="Avenir"/>
          <w:sz w:val="22"/>
          <w:szCs w:val="22"/>
        </w:rPr>
        <w:t xml:space="preserve"> – Výjimečný prostor v Liberci, kde najdete prodejnu pečiva a lokálních potravin, otevřenou kuchyni i pražírnu výběrové kávy. Za podnikem stojí ekosystém pražírny </w:t>
      </w:r>
      <w:proofErr w:type="spellStart"/>
      <w:r>
        <w:rPr>
          <w:rFonts w:ascii="Avenir" w:eastAsia="Avenir" w:hAnsi="Avenir" w:cs="Avenir"/>
          <w:sz w:val="22"/>
          <w:szCs w:val="22"/>
        </w:rPr>
        <w:t>Nordbeans</w:t>
      </w:r>
      <w:proofErr w:type="spellEnd"/>
      <w:r>
        <w:rPr>
          <w:rFonts w:ascii="Avenir" w:eastAsia="Avenir" w:hAnsi="Avenir" w:cs="Avenir"/>
          <w:sz w:val="22"/>
          <w:szCs w:val="22"/>
        </w:rPr>
        <w:t>, jenž liberecký region obohatil o řadu zajímavých gastronomických konceptů.</w:t>
      </w:r>
    </w:p>
    <w:p w14:paraId="778E8F7F" w14:textId="77777777" w:rsidR="007B7282" w:rsidRDefault="00000000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  <w:proofErr w:type="spellStart"/>
      <w:r>
        <w:rPr>
          <w:rFonts w:ascii="Avenir" w:eastAsia="Avenir" w:hAnsi="Avenir" w:cs="Avenir"/>
          <w:b/>
          <w:bCs/>
          <w:sz w:val="22"/>
          <w:szCs w:val="22"/>
        </w:rPr>
        <w:t>Gourmet</w:t>
      </w:r>
      <w:proofErr w:type="spellEnd"/>
      <w:r>
        <w:rPr>
          <w:rFonts w:ascii="Avenir" w:eastAsia="Avenir" w:hAnsi="Avenir" w:cs="Avenir"/>
          <w:b/>
          <w:bCs/>
          <w:sz w:val="22"/>
          <w:szCs w:val="22"/>
        </w:rPr>
        <w:t xml:space="preserve"> hotel roku </w:t>
      </w:r>
      <w:proofErr w:type="spellStart"/>
      <w:r>
        <w:rPr>
          <w:rFonts w:ascii="Avenir" w:eastAsia="Avenir" w:hAnsi="Avenir" w:cs="Avenir"/>
          <w:b/>
          <w:bCs/>
          <w:sz w:val="22"/>
          <w:szCs w:val="22"/>
        </w:rPr>
        <w:t>Fairmont</w:t>
      </w:r>
      <w:proofErr w:type="spellEnd"/>
      <w:r>
        <w:rPr>
          <w:rFonts w:ascii="Avenir" w:eastAsia="Avenir" w:hAnsi="Avenir" w:cs="Avenir"/>
          <w:b/>
          <w:bCs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b/>
          <w:bCs/>
          <w:sz w:val="22"/>
          <w:szCs w:val="22"/>
        </w:rPr>
        <w:t>Golden</w:t>
      </w:r>
      <w:proofErr w:type="spellEnd"/>
      <w:r>
        <w:rPr>
          <w:rFonts w:ascii="Avenir" w:eastAsia="Avenir" w:hAnsi="Avenir" w:cs="Avenir"/>
          <w:b/>
          <w:bCs/>
          <w:sz w:val="22"/>
          <w:szCs w:val="22"/>
        </w:rPr>
        <w:t xml:space="preserve"> Prague</w:t>
      </w:r>
      <w:r>
        <w:rPr>
          <w:rFonts w:ascii="Avenir" w:eastAsia="Avenir" w:hAnsi="Avenir" w:cs="Avenir"/>
          <w:sz w:val="22"/>
          <w:szCs w:val="22"/>
        </w:rPr>
        <w:t xml:space="preserve"> – Prostor, v němž se setkává historie, gastronomie a umění v jediném harmonickém celku. Ikonický hotel na pražském Dvořákově nábřeží dříve známý jako InterContinental se po rozsáhlé rekonstrukci stal symbolem vysokého standardu, který ctí minulost, ale směřuje dopředu.</w:t>
      </w:r>
    </w:p>
    <w:p w14:paraId="3323F33F" w14:textId="77777777" w:rsidR="007B7282" w:rsidRDefault="007B7282">
      <w:pPr>
        <w:pBdr>
          <w:bottom w:val="single" w:sz="6" w:space="1" w:color="000000"/>
        </w:pBdr>
        <w:rPr>
          <w:rFonts w:ascii="Avenir" w:eastAsia="Avenir" w:hAnsi="Avenir" w:cs="Avenir"/>
          <w:sz w:val="22"/>
          <w:szCs w:val="22"/>
        </w:rPr>
      </w:pPr>
    </w:p>
    <w:p w14:paraId="05379853" w14:textId="77777777" w:rsidR="007B7282" w:rsidRDefault="00000000">
      <w:pPr>
        <w:rPr>
          <w:rFonts w:ascii="Avenir" w:eastAsia="Avenir" w:hAnsi="Avenir" w:cs="Avenir"/>
          <w:b/>
          <w:bCs/>
          <w:sz w:val="20"/>
          <w:szCs w:val="20"/>
        </w:rPr>
      </w:pPr>
      <w:r>
        <w:rPr>
          <w:rFonts w:ascii="Avenir" w:eastAsia="Avenir" w:hAnsi="Avenir" w:cs="Avenir"/>
          <w:b/>
          <w:bCs/>
          <w:sz w:val="20"/>
          <w:szCs w:val="20"/>
        </w:rPr>
        <w:t xml:space="preserve">O </w:t>
      </w:r>
      <w:proofErr w:type="spellStart"/>
      <w:r>
        <w:rPr>
          <w:rFonts w:ascii="Avenir" w:eastAsia="Avenir" w:hAnsi="Avenir" w:cs="Avenir"/>
          <w:b/>
          <w:bCs/>
          <w:sz w:val="20"/>
          <w:szCs w:val="20"/>
        </w:rPr>
        <w:t>Gault&amp;Millau</w:t>
      </w:r>
      <w:proofErr w:type="spellEnd"/>
    </w:p>
    <w:p w14:paraId="40DB52DD" w14:textId="77777777" w:rsidR="007B7282" w:rsidRDefault="00000000">
      <w:pPr>
        <w:rPr>
          <w:rFonts w:ascii="Avenir" w:eastAsia="Avenir" w:hAnsi="Avenir" w:cs="Avenir"/>
          <w:sz w:val="20"/>
          <w:szCs w:val="20"/>
        </w:rPr>
      </w:pPr>
      <w:r>
        <w:rPr>
          <w:rFonts w:ascii="Avenir" w:eastAsia="Avenir" w:hAnsi="Avenir" w:cs="Avenir"/>
          <w:sz w:val="20"/>
          <w:szCs w:val="20"/>
        </w:rPr>
        <w:lastRenderedPageBreak/>
        <w:t xml:space="preserve">Francouzského gastronomického průvodce založili novináři Henri Gault a Christian </w:t>
      </w:r>
      <w:proofErr w:type="spellStart"/>
      <w:r>
        <w:rPr>
          <w:rFonts w:ascii="Avenir" w:eastAsia="Avenir" w:hAnsi="Avenir" w:cs="Avenir"/>
          <w:sz w:val="20"/>
          <w:szCs w:val="20"/>
        </w:rPr>
        <w:t>Millau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 v šedesátých letech minulého století jako reakci na hodnoticí pravidla jiných průvodců, která byla do té doby sešněrovaná. Vytvořili pružný systém hodnocení založený na kombinaci udělování symbolu kuchařské čepice („</w:t>
      </w:r>
      <w:proofErr w:type="spellStart"/>
      <w:r>
        <w:rPr>
          <w:rFonts w:ascii="Avenir" w:eastAsia="Avenir" w:hAnsi="Avenir" w:cs="Avenir"/>
          <w:sz w:val="20"/>
          <w:szCs w:val="20"/>
        </w:rPr>
        <w:t>toque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“) a bodů. Definovali kulinářské desatero tzv. </w:t>
      </w:r>
      <w:proofErr w:type="spellStart"/>
      <w:r>
        <w:rPr>
          <w:rFonts w:ascii="Avenir" w:eastAsia="Avenir" w:hAnsi="Avenir" w:cs="Avenir"/>
          <w:sz w:val="20"/>
          <w:szCs w:val="20"/>
        </w:rPr>
        <w:t>nouvelle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 </w:t>
      </w:r>
      <w:proofErr w:type="spellStart"/>
      <w:r>
        <w:rPr>
          <w:rFonts w:ascii="Avenir" w:eastAsia="Avenir" w:hAnsi="Avenir" w:cs="Avenir"/>
          <w:sz w:val="20"/>
          <w:szCs w:val="20"/>
        </w:rPr>
        <w:t>cuisine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. Díky svému přístupu a práci se v roce 1980 dostali na obálku prestižního časopisu Time a jejich systém pomohl k objevu mnoha gastronomických talentů. Aktuálně </w:t>
      </w:r>
      <w:hyperlink r:id="rId10">
        <w:proofErr w:type="spellStart"/>
        <w:r>
          <w:rPr>
            <w:rFonts w:ascii="Avenir" w:eastAsia="Avenir" w:hAnsi="Avenir" w:cs="Avenir"/>
            <w:color w:val="467886"/>
            <w:sz w:val="20"/>
            <w:szCs w:val="20"/>
            <w:u w:val="single"/>
          </w:rPr>
          <w:t>Gault&amp;Millau</w:t>
        </w:r>
        <w:proofErr w:type="spellEnd"/>
      </w:hyperlink>
      <w:r>
        <w:rPr>
          <w:rFonts w:ascii="Avenir" w:eastAsia="Avenir" w:hAnsi="Avenir" w:cs="Avenir"/>
          <w:sz w:val="20"/>
          <w:szCs w:val="20"/>
        </w:rPr>
        <w:t xml:space="preserve"> působí ve dvacítce zemí světa.</w:t>
      </w:r>
    </w:p>
    <w:p w14:paraId="3906B04B" w14:textId="77777777" w:rsidR="007B7282" w:rsidRDefault="007B7282">
      <w:pPr>
        <w:rPr>
          <w:rFonts w:ascii="Avenir" w:eastAsia="Avenir" w:hAnsi="Avenir" w:cs="Avenir"/>
          <w:sz w:val="20"/>
          <w:szCs w:val="20"/>
        </w:rPr>
      </w:pPr>
    </w:p>
    <w:p w14:paraId="50A5F613" w14:textId="77777777" w:rsidR="007B7282" w:rsidRDefault="00000000">
      <w:pPr>
        <w:rPr>
          <w:rFonts w:ascii="Avenir" w:eastAsia="Avenir" w:hAnsi="Avenir" w:cs="Avenir"/>
          <w:b/>
          <w:bCs/>
          <w:sz w:val="20"/>
          <w:szCs w:val="20"/>
        </w:rPr>
      </w:pPr>
      <w:proofErr w:type="spellStart"/>
      <w:r>
        <w:rPr>
          <w:rFonts w:ascii="Avenir" w:eastAsia="Avenir" w:hAnsi="Avenir" w:cs="Avenir"/>
          <w:b/>
          <w:bCs/>
          <w:sz w:val="20"/>
          <w:szCs w:val="20"/>
        </w:rPr>
        <w:t>Gault&amp;Millau</w:t>
      </w:r>
      <w:proofErr w:type="spellEnd"/>
      <w:r>
        <w:rPr>
          <w:rFonts w:ascii="Avenir" w:eastAsia="Avenir" w:hAnsi="Avenir" w:cs="Avenir"/>
          <w:b/>
          <w:bCs/>
          <w:sz w:val="20"/>
          <w:szCs w:val="20"/>
        </w:rPr>
        <w:t xml:space="preserve"> v Česku</w:t>
      </w:r>
    </w:p>
    <w:p w14:paraId="09DE2606" w14:textId="77777777" w:rsidR="007B7282" w:rsidRDefault="00000000">
      <w:pPr>
        <w:rPr>
          <w:rFonts w:ascii="Avenir" w:eastAsia="Avenir" w:hAnsi="Avenir" w:cs="Avenir"/>
          <w:sz w:val="20"/>
          <w:szCs w:val="20"/>
        </w:rPr>
      </w:pPr>
      <w:r>
        <w:rPr>
          <w:rFonts w:ascii="Avenir" w:eastAsia="Avenir" w:hAnsi="Avenir" w:cs="Avenir"/>
          <w:sz w:val="20"/>
          <w:szCs w:val="20"/>
        </w:rPr>
        <w:t xml:space="preserve">První vydání </w:t>
      </w:r>
      <w:proofErr w:type="spellStart"/>
      <w:r>
        <w:rPr>
          <w:rFonts w:ascii="Avenir" w:eastAsia="Avenir" w:hAnsi="Avenir" w:cs="Avenir"/>
          <w:sz w:val="20"/>
          <w:szCs w:val="20"/>
        </w:rPr>
        <w:t>Gault&amp;Millau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 pro Česko v knižní i </w:t>
      </w:r>
      <w:hyperlink r:id="rId11">
        <w:r>
          <w:rPr>
            <w:rFonts w:ascii="Avenir" w:eastAsia="Avenir" w:hAnsi="Avenir" w:cs="Avenir"/>
            <w:color w:val="467886"/>
            <w:sz w:val="20"/>
            <w:szCs w:val="20"/>
            <w:u w:val="single"/>
          </w:rPr>
          <w:t>on-line</w:t>
        </w:r>
      </w:hyperlink>
      <w:r>
        <w:rPr>
          <w:rFonts w:ascii="Avenir" w:eastAsia="Avenir" w:hAnsi="Avenir" w:cs="Avenir"/>
          <w:sz w:val="20"/>
          <w:szCs w:val="20"/>
        </w:rPr>
        <w:t xml:space="preserve"> verzi vyšlo v lednu 2025. Celkem se do něj dostalo 411 podniků, a to 270 hodnocených restaurací a 141 provozů v nehodnocené kategorii POP. Vůbec prvními držiteli ocenění </w:t>
      </w:r>
      <w:proofErr w:type="spellStart"/>
      <w:r>
        <w:rPr>
          <w:rFonts w:ascii="Avenir" w:eastAsia="Avenir" w:hAnsi="Avenir" w:cs="Avenir"/>
          <w:sz w:val="20"/>
          <w:szCs w:val="20"/>
        </w:rPr>
        <w:t>Gault&amp;Millau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 v Česku se na loňském galavečeru stali Jan Knedla (Šéfkuchař roku), Otto Vašák (Šéfkuchař zítřka), Barbora Šimůnková (Mladý talent roku) a EGGO </w:t>
      </w:r>
      <w:proofErr w:type="spellStart"/>
      <w:r>
        <w:rPr>
          <w:rFonts w:ascii="Avenir" w:eastAsia="Avenir" w:hAnsi="Avenir" w:cs="Avenir"/>
          <w:sz w:val="20"/>
          <w:szCs w:val="20"/>
        </w:rPr>
        <w:t>BreakFeast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 bistro (POP roku).</w:t>
      </w:r>
    </w:p>
    <w:p w14:paraId="2A6575F8" w14:textId="77777777" w:rsidR="007B7282" w:rsidRDefault="007B7282">
      <w:pPr>
        <w:rPr>
          <w:rFonts w:ascii="Avenir" w:eastAsia="Avenir" w:hAnsi="Avenir" w:cs="Avenir"/>
          <w:sz w:val="20"/>
          <w:szCs w:val="20"/>
        </w:rPr>
      </w:pPr>
    </w:p>
    <w:p w14:paraId="116B7101" w14:textId="77777777" w:rsidR="007B7282" w:rsidRDefault="00000000">
      <w:pPr>
        <w:rPr>
          <w:rFonts w:ascii="Avenir" w:eastAsia="Avenir" w:hAnsi="Avenir" w:cs="Avenir"/>
          <w:sz w:val="20"/>
          <w:szCs w:val="20"/>
          <w:highlight w:val="yellow"/>
        </w:rPr>
      </w:pPr>
      <w:r>
        <w:rPr>
          <w:rFonts w:ascii="Avenir" w:eastAsia="Avenir" w:hAnsi="Avenir" w:cs="Avenir"/>
          <w:b/>
          <w:bCs/>
          <w:sz w:val="20"/>
          <w:szCs w:val="20"/>
        </w:rPr>
        <w:t xml:space="preserve">Systém hodnocení </w:t>
      </w:r>
      <w:proofErr w:type="spellStart"/>
      <w:r>
        <w:rPr>
          <w:rFonts w:ascii="Avenir" w:eastAsia="Avenir" w:hAnsi="Avenir" w:cs="Avenir"/>
          <w:b/>
          <w:bCs/>
          <w:sz w:val="20"/>
          <w:szCs w:val="20"/>
        </w:rPr>
        <w:t>Gault&amp;Millau</w:t>
      </w:r>
      <w:proofErr w:type="spellEnd"/>
    </w:p>
    <w:tbl>
      <w:tblPr>
        <w:tblStyle w:val="a"/>
        <w:tblW w:w="89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90"/>
        <w:gridCol w:w="1665"/>
        <w:gridCol w:w="3060"/>
        <w:gridCol w:w="1995"/>
      </w:tblGrid>
      <w:tr w:rsidR="007B7282" w14:paraId="42B60527" w14:textId="77777777">
        <w:trPr>
          <w:trHeight w:val="1065"/>
        </w:trPr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DAF8E5" w14:textId="77777777" w:rsidR="007B7282" w:rsidRDefault="00000000">
            <w:pPr>
              <w:spacing w:after="0" w:line="276" w:lineRule="auto"/>
              <w:ind w:left="10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POČET ČEPIC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8B589D" w14:textId="77777777" w:rsidR="007B7282" w:rsidRDefault="00000000">
            <w:pPr>
              <w:spacing w:after="0" w:line="276" w:lineRule="auto"/>
              <w:ind w:left="10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POČET BODŮ</w:t>
            </w:r>
          </w:p>
        </w:tc>
        <w:tc>
          <w:tcPr>
            <w:tcW w:w="30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D33656" w14:textId="77777777" w:rsidR="007B7282" w:rsidRDefault="00000000">
            <w:pPr>
              <w:spacing w:after="0" w:line="276" w:lineRule="auto"/>
              <w:ind w:left="10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SLOVNÍ HODNOCENÍ</w:t>
            </w:r>
          </w:p>
        </w:tc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D836AB" w14:textId="77777777" w:rsidR="007B7282" w:rsidRDefault="00000000">
            <w:pPr>
              <w:spacing w:after="0" w:line="276" w:lineRule="auto"/>
              <w:ind w:left="10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POČET PODNIKŮ</w:t>
            </w:r>
          </w:p>
        </w:tc>
      </w:tr>
      <w:tr w:rsidR="007B7282" w14:paraId="1C79323C" w14:textId="77777777">
        <w:trPr>
          <w:trHeight w:val="675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F08A80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5C930BD5" wp14:editId="1039CC04">
                  <wp:extent cx="190500" cy="266700"/>
                  <wp:effectExtent l="0" t="0" r="0" b="0"/>
                  <wp:docPr id="86320286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14545C92" wp14:editId="036FF97A">
                  <wp:extent cx="190500" cy="266700"/>
                  <wp:effectExtent l="0" t="0" r="0" b="0"/>
                  <wp:docPr id="86320287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79C265C7" wp14:editId="31C786CB">
                  <wp:extent cx="190500" cy="266700"/>
                  <wp:effectExtent l="0" t="0" r="0" b="0"/>
                  <wp:docPr id="86320286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4E8AEB31" wp14:editId="426DA1A6">
                  <wp:extent cx="190500" cy="266700"/>
                  <wp:effectExtent l="0" t="0" r="0" b="0"/>
                  <wp:docPr id="863202871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02DF37E6" wp14:editId="487016D2">
                  <wp:extent cx="190500" cy="266700"/>
                  <wp:effectExtent l="0" t="0" r="0" b="0"/>
                  <wp:docPr id="86320287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FE2877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19–19,5 bodu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634082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výjimečná kuchyně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AEAEEA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0</w:t>
            </w:r>
          </w:p>
        </w:tc>
      </w:tr>
      <w:tr w:rsidR="007B7282" w14:paraId="250FC616" w14:textId="77777777">
        <w:trPr>
          <w:trHeight w:val="675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88D87F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0F284CD6" wp14:editId="1818705B">
                  <wp:extent cx="190500" cy="266700"/>
                  <wp:effectExtent l="0" t="0" r="0" b="0"/>
                  <wp:docPr id="86320287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7C9B18E3" wp14:editId="6516C7C1">
                  <wp:extent cx="190500" cy="266700"/>
                  <wp:effectExtent l="0" t="0" r="0" b="0"/>
                  <wp:docPr id="86320287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35FA2ABB" wp14:editId="594605D3">
                  <wp:extent cx="190500" cy="266700"/>
                  <wp:effectExtent l="0" t="0" r="0" b="0"/>
                  <wp:docPr id="863202863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6E5A4AD6" wp14:editId="18F5F61F">
                  <wp:extent cx="190500" cy="266700"/>
                  <wp:effectExtent l="0" t="0" r="0" b="0"/>
                  <wp:docPr id="86320287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E682E3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17–18,5 bodu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3816F5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velmi vysoká úroveň kuchyně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D57C55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3</w:t>
            </w:r>
          </w:p>
        </w:tc>
      </w:tr>
      <w:tr w:rsidR="007B7282" w14:paraId="7C90EC8E" w14:textId="77777777">
        <w:trPr>
          <w:trHeight w:val="675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2F018C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2EEFB8D6" wp14:editId="3D92BEB6">
                  <wp:extent cx="190500" cy="266700"/>
                  <wp:effectExtent l="0" t="0" r="0" b="0"/>
                  <wp:docPr id="863202866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41AB2535" wp14:editId="5DBF3AF8">
                  <wp:extent cx="190500" cy="266700"/>
                  <wp:effectExtent l="0" t="0" r="0" b="0"/>
                  <wp:docPr id="863202878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0C461855" wp14:editId="78203F5B">
                  <wp:extent cx="190500" cy="266700"/>
                  <wp:effectExtent l="0" t="0" r="0" b="0"/>
                  <wp:docPr id="863202879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5B439B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15–16,5 bodu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D72CB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vysoká úroveň kuchyně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699549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17</w:t>
            </w:r>
          </w:p>
        </w:tc>
      </w:tr>
      <w:tr w:rsidR="007B7282" w14:paraId="7DE7F7E6" w14:textId="77777777">
        <w:trPr>
          <w:trHeight w:val="675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CFF806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082B7508" wp14:editId="063567D6">
                  <wp:extent cx="190500" cy="266700"/>
                  <wp:effectExtent l="0" t="0" r="0" b="0"/>
                  <wp:docPr id="863202872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49DD2B7F" wp14:editId="44DA8E2A">
                  <wp:extent cx="190500" cy="266700"/>
                  <wp:effectExtent l="0" t="0" r="0" b="0"/>
                  <wp:docPr id="86320287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6AE282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13–14,5 bodu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807761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autorská kuchyně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0C2A5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82</w:t>
            </w:r>
          </w:p>
        </w:tc>
      </w:tr>
      <w:tr w:rsidR="007B7282" w14:paraId="6F39A6A0" w14:textId="77777777">
        <w:trPr>
          <w:trHeight w:val="675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1E2917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noProof/>
                <w:sz w:val="20"/>
                <w:szCs w:val="20"/>
              </w:rPr>
              <w:drawing>
                <wp:inline distT="114300" distB="114300" distL="114300" distR="114300" wp14:anchorId="0F8CB1BC" wp14:editId="238B2FEC">
                  <wp:extent cx="190500" cy="266700"/>
                  <wp:effectExtent l="0" t="0" r="0" b="0"/>
                  <wp:docPr id="86320286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1B3EFB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11–12,5 bodu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4C050B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zajímavá kuchyně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6A3329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232</w:t>
            </w:r>
          </w:p>
        </w:tc>
      </w:tr>
      <w:tr w:rsidR="007B7282" w14:paraId="6D858EEB" w14:textId="77777777">
        <w:trPr>
          <w:trHeight w:val="675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BA3659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bez čepice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C3AF4D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10–10,5 bodu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28F4F1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dobrá kuchyně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497E78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87</w:t>
            </w:r>
          </w:p>
        </w:tc>
      </w:tr>
      <w:tr w:rsidR="007B7282" w14:paraId="385254D6" w14:textId="77777777">
        <w:trPr>
          <w:trHeight w:val="810"/>
        </w:trPr>
        <w:tc>
          <w:tcPr>
            <w:tcW w:w="21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C8C419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POP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17B28C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 xml:space="preserve"> 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978EE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 xml:space="preserve">populární trendy podnik – bistro, street food, </w:t>
            </w:r>
            <w:proofErr w:type="spellStart"/>
            <w:r>
              <w:rPr>
                <w:rFonts w:ascii="Avenir" w:eastAsia="Avenir" w:hAnsi="Avenir" w:cs="Avenir"/>
                <w:sz w:val="20"/>
                <w:szCs w:val="20"/>
              </w:rPr>
              <w:t>wine</w:t>
            </w:r>
            <w:proofErr w:type="spellEnd"/>
            <w:r>
              <w:rPr>
                <w:rFonts w:ascii="Avenir" w:eastAsia="Avenir" w:hAnsi="Avenir" w:cs="Avenir"/>
                <w:sz w:val="20"/>
                <w:szCs w:val="20"/>
              </w:rPr>
              <w:t xml:space="preserve"> bar, tapas bar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1114A8" w14:textId="77777777" w:rsidR="007B7282" w:rsidRDefault="00000000">
            <w:pPr>
              <w:spacing w:after="0" w:line="276" w:lineRule="auto"/>
              <w:ind w:left="100"/>
              <w:rPr>
                <w:rFonts w:ascii="Avenir" w:eastAsia="Avenir" w:hAnsi="Avenir" w:cs="Avenir"/>
                <w:sz w:val="20"/>
                <w:szCs w:val="20"/>
              </w:rPr>
            </w:pPr>
            <w:r>
              <w:rPr>
                <w:rFonts w:ascii="Avenir" w:eastAsia="Avenir" w:hAnsi="Avenir" w:cs="Avenir"/>
                <w:sz w:val="20"/>
                <w:szCs w:val="20"/>
              </w:rPr>
              <w:t>146</w:t>
            </w:r>
          </w:p>
        </w:tc>
      </w:tr>
    </w:tbl>
    <w:p w14:paraId="498D6D7C" w14:textId="77777777" w:rsidR="007B7282" w:rsidRDefault="007B7282">
      <w:pPr>
        <w:rPr>
          <w:rFonts w:ascii="Avenir" w:eastAsia="Avenir" w:hAnsi="Avenir" w:cs="Avenir"/>
          <w:sz w:val="20"/>
          <w:szCs w:val="20"/>
          <w:highlight w:val="yellow"/>
        </w:rPr>
      </w:pPr>
    </w:p>
    <w:sectPr w:rsidR="007B7282">
      <w:headerReference w:type="default" r:id="rId13"/>
      <w:footerReference w:type="default" r:id="rId14"/>
      <w:pgSz w:w="11906" w:h="16838"/>
      <w:pgMar w:top="1418" w:right="1418" w:bottom="1418" w:left="1418" w:header="680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9F455" w14:textId="77777777" w:rsidR="009D1188" w:rsidRDefault="009D1188">
      <w:pPr>
        <w:spacing w:after="0" w:line="240" w:lineRule="auto"/>
      </w:pPr>
      <w:r>
        <w:separator/>
      </w:r>
    </w:p>
  </w:endnote>
  <w:endnote w:type="continuationSeparator" w:id="0">
    <w:p w14:paraId="23753116" w14:textId="77777777" w:rsidR="009D1188" w:rsidRDefault="009D1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EF1E4458-7ACB-421C-9322-F69CB4C60E86}"/>
    <w:embedBold r:id="rId2" w:fontKey="{E04E54C5-0A0B-4164-94E5-931B0B4DC78C}"/>
    <w:embedItalic r:id="rId3" w:fontKey="{FBCA2A11-CAE1-4FFC-A01F-FE3581D17D17}"/>
  </w:font>
  <w:font w:name="Play">
    <w:charset w:val="00"/>
    <w:family w:val="auto"/>
    <w:pitch w:val="default"/>
    <w:embedRegular r:id="rId4" w:fontKey="{252DE547-D82B-4614-BEAC-8BCA96C2AD86}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D2813D9B-A550-43F9-A5EF-BDF61CD74505}"/>
  </w:font>
  <w:font w:name="Avenir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51E07" w14:textId="028C361F" w:rsidR="007B7282" w:rsidRDefault="007B728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5EE81" w14:textId="77777777" w:rsidR="009D1188" w:rsidRDefault="009D1188">
      <w:pPr>
        <w:spacing w:after="0" w:line="240" w:lineRule="auto"/>
      </w:pPr>
      <w:r>
        <w:separator/>
      </w:r>
    </w:p>
  </w:footnote>
  <w:footnote w:type="continuationSeparator" w:id="0">
    <w:p w14:paraId="5D6B9E49" w14:textId="77777777" w:rsidR="009D1188" w:rsidRDefault="009D1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1E11A" w14:textId="77777777" w:rsidR="007B728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8794E7F" wp14:editId="70C52BC3">
          <wp:simplePos x="0" y="0"/>
          <wp:positionH relativeFrom="column">
            <wp:posOffset>4550735</wp:posOffset>
          </wp:positionH>
          <wp:positionV relativeFrom="paragraph">
            <wp:posOffset>-634</wp:posOffset>
          </wp:positionV>
          <wp:extent cx="1384300" cy="193675"/>
          <wp:effectExtent l="0" t="0" r="0" b="0"/>
          <wp:wrapNone/>
          <wp:docPr id="863202867" name="image15.png" descr="Obsah obrázku Písmo, typografie, text, Grafika&#10;&#10;Obsah generovaný pomocí AI může být nesprávný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5.png" descr="Obsah obrázku Písmo, typografie, text, Grafika&#10;&#10;Obsah generovaný pomocí AI může být nesprávný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4300" cy="193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282"/>
    <w:rsid w:val="007B7282"/>
    <w:rsid w:val="009D1188"/>
    <w:rsid w:val="00AC286B"/>
    <w:rsid w:val="00B8730F"/>
    <w:rsid w:val="00C4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A60F"/>
  <w15:docId w15:val="{9960C21F-1645-442F-B590-4CBFB5C6E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c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Nadpis7">
    <w:name w:val="heading 7"/>
    <w:link w:val="Nadpis7Char"/>
    <w:uiPriority w:val="9"/>
    <w:semiHidden/>
    <w:unhideWhenUsed/>
    <w:qFormat/>
    <w:rsid w:val="00D11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link w:val="Nadpis8Char"/>
    <w:uiPriority w:val="9"/>
    <w:semiHidden/>
    <w:unhideWhenUsed/>
    <w:qFormat/>
    <w:rsid w:val="00D11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link w:val="Nadpis9Char"/>
    <w:uiPriority w:val="9"/>
    <w:semiHidden/>
    <w:unhideWhenUsed/>
    <w:qFormat/>
    <w:rsid w:val="00D11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Nadpis1Char">
    <w:name w:val="Nadpis 1 Char"/>
    <w:basedOn w:val="Standardnpsmoodstavce"/>
    <w:uiPriority w:val="9"/>
    <w:rsid w:val="00D11F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uiPriority w:val="9"/>
    <w:semiHidden/>
    <w:rsid w:val="00D11F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uiPriority w:val="9"/>
    <w:rsid w:val="00D11F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uiPriority w:val="9"/>
    <w:semiHidden/>
    <w:rsid w:val="00D11F8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uiPriority w:val="9"/>
    <w:semiHidden/>
    <w:rsid w:val="00D11F8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uiPriority w:val="9"/>
    <w:semiHidden/>
    <w:rsid w:val="00D11F8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11F8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11F8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11F81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uiPriority w:val="10"/>
    <w:rsid w:val="00D11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dpisChar">
    <w:name w:val="Podnadpis Char"/>
    <w:basedOn w:val="Standardnpsmoodstavce"/>
    <w:uiPriority w:val="11"/>
    <w:rsid w:val="00D11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link w:val="CittChar"/>
    <w:uiPriority w:val="29"/>
    <w:qFormat/>
    <w:rsid w:val="00D11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11F81"/>
    <w:rPr>
      <w:i/>
      <w:iCs/>
      <w:color w:val="404040" w:themeColor="text1" w:themeTint="BF"/>
    </w:rPr>
  </w:style>
  <w:style w:type="paragraph" w:styleId="Odstavecseseznamem">
    <w:name w:val="List Paragraph"/>
    <w:uiPriority w:val="34"/>
    <w:qFormat/>
    <w:rsid w:val="00D11F8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11F81"/>
    <w:rPr>
      <w:i/>
      <w:iCs/>
      <w:color w:val="0F4761" w:themeColor="accent1" w:themeShade="BF"/>
    </w:rPr>
  </w:style>
  <w:style w:type="paragraph" w:styleId="Vrazncitt">
    <w:name w:val="Intense Quote"/>
    <w:link w:val="VrazncittChar"/>
    <w:uiPriority w:val="30"/>
    <w:qFormat/>
    <w:rsid w:val="00D11F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11F8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11F81"/>
    <w:rPr>
      <w:b/>
      <w:bCs/>
      <w:smallCaps/>
      <w:color w:val="0F4761" w:themeColor="accent1" w:themeShade="BF"/>
      <w:spacing w:val="5"/>
    </w:rPr>
  </w:style>
  <w:style w:type="character" w:styleId="Odkaznakoment">
    <w:name w:val="annotation reference"/>
    <w:basedOn w:val="Standardnpsmoodstavce"/>
    <w:uiPriority w:val="99"/>
    <w:semiHidden/>
    <w:unhideWhenUsed/>
    <w:rsid w:val="00C4176E"/>
    <w:rPr>
      <w:sz w:val="16"/>
      <w:szCs w:val="16"/>
    </w:rPr>
  </w:style>
  <w:style w:type="paragraph" w:styleId="Textkomente">
    <w:name w:val="annotation text"/>
    <w:link w:val="TextkomenteChar"/>
    <w:uiPriority w:val="99"/>
    <w:unhideWhenUsed/>
    <w:rsid w:val="00C4176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4176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4176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4176E"/>
    <w:rPr>
      <w:b/>
      <w:bCs/>
      <w:sz w:val="20"/>
      <w:szCs w:val="20"/>
    </w:rPr>
  </w:style>
  <w:style w:type="paragraph" w:styleId="Zhlav">
    <w:name w:val="header"/>
    <w:link w:val="ZhlavChar"/>
    <w:uiPriority w:val="99"/>
    <w:unhideWhenUsed/>
    <w:rsid w:val="001C44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C4443"/>
  </w:style>
  <w:style w:type="paragraph" w:styleId="Zpat">
    <w:name w:val="footer"/>
    <w:link w:val="ZpatChar"/>
    <w:uiPriority w:val="99"/>
    <w:unhideWhenUsed/>
    <w:rsid w:val="001C44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C4443"/>
  </w:style>
  <w:style w:type="character" w:styleId="Hypertextovodkaz">
    <w:name w:val="Hyperlink"/>
    <w:basedOn w:val="Standardnpsmoodstavce"/>
    <w:uiPriority w:val="99"/>
    <w:unhideWhenUsed/>
    <w:rsid w:val="00FC463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C4636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zechspecials.cz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gault-millau.cz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gaultmillau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zechspecials.cz/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rH8f0CGxs4d8l8sD6GmsGrtmdg==">CgMxLjA4AGojChRzdWdnZXN0Lm5pYmFjYjFxZWMybxILTXkgQ3VsaW5hcnlqIwoUc3VnZ2VzdC5vYzhpd2hhbGwyMjISC015IEN1bGluYXJ5aiMKFHN1Z2dlc3QuNHdhMGYyZ3E2aGFsEgtNeSBDdWxpbmFyeWojChRzdWdnZXN0Lnk5Y3V6YW05YWc3ZRILTXkgQ3VsaW5hcnlyITFlVHZiMllHbzY2ZVhieE9halJtQzFwNk1nNFlYY2wydw==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1445</Words>
  <Characters>8526</Characters>
  <Application>Microsoft Office Word</Application>
  <DocSecurity>0</DocSecurity>
  <Lines>71</Lines>
  <Paragraphs>19</Paragraphs>
  <ScaleCrop>false</ScaleCrop>
  <Company/>
  <LinksUpToDate>false</LinksUpToDate>
  <CharactersWithSpaces>9952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Lapčík</dc:creator>
  <cp:lastModifiedBy>Svetozár Plesník</cp:lastModifiedBy>
  <cp:revision>3</cp:revision>
  <dcterms:created xsi:type="dcterms:W3CDTF">2026-01-27T07:49:00Z</dcterms:created>
  <dcterms:modified xsi:type="dcterms:W3CDTF">2026-01-27T07:49:00Z</dcterms:modified>
</cp:coreProperties>
</file>