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CEB4B" w14:textId="6E4B715C" w:rsidR="009242AD" w:rsidRPr="004622B9" w:rsidRDefault="004175FF" w:rsidP="00B074A2">
      <w:pPr>
        <w:pStyle w:val="Nzev"/>
        <w:rPr>
          <w:b/>
          <w:sz w:val="44"/>
        </w:rPr>
      </w:pPr>
      <w:r w:rsidRPr="004622B9">
        <w:rPr>
          <w:b/>
          <w:sz w:val="44"/>
        </w:rPr>
        <w:t xml:space="preserve">Diabetes </w:t>
      </w:r>
      <w:proofErr w:type="spellStart"/>
      <w:r w:rsidRPr="004622B9">
        <w:rPr>
          <w:b/>
          <w:sz w:val="44"/>
        </w:rPr>
        <w:t>mellitus</w:t>
      </w:r>
      <w:proofErr w:type="spellEnd"/>
      <w:r w:rsidRPr="004622B9">
        <w:rPr>
          <w:b/>
          <w:sz w:val="44"/>
        </w:rPr>
        <w:t xml:space="preserve"> v číslech</w:t>
      </w:r>
    </w:p>
    <w:p w14:paraId="6023923F" w14:textId="77777777" w:rsidR="004175FF" w:rsidRPr="004175FF" w:rsidRDefault="004175FF" w:rsidP="00B074A2"/>
    <w:p w14:paraId="00594BDB" w14:textId="77777777" w:rsidR="004175FF" w:rsidRPr="004175FF" w:rsidRDefault="004175FF" w:rsidP="00B074A2">
      <w:pPr>
        <w:spacing w:after="0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381"/>
        <w:gridCol w:w="3380"/>
      </w:tblGrid>
      <w:tr w:rsidR="006C5870" w14:paraId="2E95A82D" w14:textId="77777777" w:rsidTr="008A72AF">
        <w:trPr>
          <w:trHeight w:val="496"/>
        </w:trPr>
        <w:tc>
          <w:tcPr>
            <w:tcW w:w="5761" w:type="dxa"/>
            <w:gridSpan w:val="2"/>
          </w:tcPr>
          <w:p w14:paraId="6C10FB95" w14:textId="60ACC860" w:rsidR="004175FF" w:rsidRPr="00920E84" w:rsidRDefault="00B074A2" w:rsidP="00B074A2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 xml:space="preserve">Odhad prevalence diabetes </w:t>
            </w:r>
            <w:proofErr w:type="spellStart"/>
            <w:r>
              <w:rPr>
                <w:b/>
                <w:color w:val="0070C0"/>
              </w:rPr>
              <w:t>mellitus</w:t>
            </w:r>
            <w:proofErr w:type="spellEnd"/>
            <w:r>
              <w:rPr>
                <w:b/>
                <w:color w:val="0070C0"/>
              </w:rPr>
              <w:t xml:space="preserve"> </w:t>
            </w:r>
            <w:r w:rsidR="008A72AF" w:rsidRPr="00920E84">
              <w:rPr>
                <w:b/>
                <w:color w:val="0070C0"/>
              </w:rPr>
              <w:t>v ČR</w:t>
            </w:r>
          </w:p>
          <w:p w14:paraId="0B59AE6F" w14:textId="7487F480" w:rsidR="006C5870" w:rsidRDefault="006C5870" w:rsidP="00B074A2">
            <w:r>
              <w:t>(data NRHZS</w:t>
            </w:r>
            <w:r w:rsidR="004175FF">
              <w:t xml:space="preserve"> 2015–2017</w:t>
            </w:r>
            <w:r w:rsidR="00ED7C94">
              <w:t xml:space="preserve">; </w:t>
            </w:r>
            <w:r w:rsidR="00ED7C94">
              <w:t>předběžná analýza</w:t>
            </w:r>
            <w:r>
              <w:t>)</w:t>
            </w:r>
          </w:p>
          <w:p w14:paraId="037B5C6E" w14:textId="75CB17B7" w:rsidR="004175FF" w:rsidRDefault="004175FF" w:rsidP="00B074A2"/>
        </w:tc>
      </w:tr>
      <w:tr w:rsidR="006C5870" w14:paraId="2E860742" w14:textId="77777777" w:rsidTr="008A72AF">
        <w:trPr>
          <w:trHeight w:val="469"/>
        </w:trPr>
        <w:tc>
          <w:tcPr>
            <w:tcW w:w="2381" w:type="dxa"/>
          </w:tcPr>
          <w:p w14:paraId="3E619360" w14:textId="3FF1F66D" w:rsidR="006C5870" w:rsidRDefault="006C5870" w:rsidP="00B074A2">
            <w:r>
              <w:t>2015</w:t>
            </w:r>
          </w:p>
        </w:tc>
        <w:tc>
          <w:tcPr>
            <w:tcW w:w="3379" w:type="dxa"/>
          </w:tcPr>
          <w:p w14:paraId="405F9939" w14:textId="00455A43" w:rsidR="006C5870" w:rsidRDefault="004175FF" w:rsidP="00B074A2">
            <w:r>
              <w:t>956 991</w:t>
            </w:r>
          </w:p>
        </w:tc>
      </w:tr>
      <w:tr w:rsidR="006C5870" w14:paraId="03B1D072" w14:textId="77777777" w:rsidTr="008A72AF">
        <w:trPr>
          <w:trHeight w:val="496"/>
        </w:trPr>
        <w:tc>
          <w:tcPr>
            <w:tcW w:w="2381" w:type="dxa"/>
          </w:tcPr>
          <w:p w14:paraId="66D149DD" w14:textId="5136D64F" w:rsidR="006C5870" w:rsidRDefault="006C5870" w:rsidP="00B074A2">
            <w:r>
              <w:t>2016</w:t>
            </w:r>
          </w:p>
        </w:tc>
        <w:tc>
          <w:tcPr>
            <w:tcW w:w="3379" w:type="dxa"/>
          </w:tcPr>
          <w:p w14:paraId="060B89CA" w14:textId="006C9AF9" w:rsidR="006C5870" w:rsidRDefault="004175FF" w:rsidP="00B074A2">
            <w:r>
              <w:t>980 668</w:t>
            </w:r>
          </w:p>
        </w:tc>
      </w:tr>
      <w:tr w:rsidR="006C5870" w14:paraId="433B832F" w14:textId="77777777" w:rsidTr="008A72AF">
        <w:trPr>
          <w:trHeight w:val="469"/>
        </w:trPr>
        <w:tc>
          <w:tcPr>
            <w:tcW w:w="2381" w:type="dxa"/>
          </w:tcPr>
          <w:p w14:paraId="57965285" w14:textId="24CEB2AD" w:rsidR="006C5870" w:rsidRPr="00AE440B" w:rsidRDefault="006C5870" w:rsidP="00B074A2">
            <w:pPr>
              <w:rPr>
                <w:b/>
              </w:rPr>
            </w:pPr>
            <w:r w:rsidRPr="00AE440B">
              <w:rPr>
                <w:b/>
              </w:rPr>
              <w:t>2017</w:t>
            </w:r>
          </w:p>
        </w:tc>
        <w:tc>
          <w:tcPr>
            <w:tcW w:w="3379" w:type="dxa"/>
          </w:tcPr>
          <w:p w14:paraId="3CE89F7E" w14:textId="44032FF1" w:rsidR="006C5870" w:rsidRPr="00AE440B" w:rsidRDefault="004175FF" w:rsidP="00B074A2">
            <w:pPr>
              <w:rPr>
                <w:b/>
              </w:rPr>
            </w:pPr>
            <w:r w:rsidRPr="00AE440B">
              <w:rPr>
                <w:b/>
              </w:rPr>
              <w:t>995 613</w:t>
            </w:r>
          </w:p>
        </w:tc>
      </w:tr>
    </w:tbl>
    <w:p w14:paraId="264A717C" w14:textId="49F9A80B" w:rsidR="006C5870" w:rsidRDefault="004175FF" w:rsidP="00B074A2">
      <w:pPr>
        <w:spacing w:after="0"/>
      </w:pPr>
      <w:r>
        <w:t xml:space="preserve"> </w:t>
      </w:r>
    </w:p>
    <w:p w14:paraId="09B08F08" w14:textId="556BE1FF" w:rsidR="004622B9" w:rsidRDefault="004622B9" w:rsidP="00B074A2">
      <w:pPr>
        <w:spacing w:after="0"/>
      </w:pPr>
    </w:p>
    <w:p w14:paraId="26C9E767" w14:textId="77777777" w:rsidR="004622B9" w:rsidRDefault="004622B9" w:rsidP="00B074A2">
      <w:pPr>
        <w:spacing w:after="0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0"/>
        <w:gridCol w:w="3406"/>
      </w:tblGrid>
      <w:tr w:rsidR="004175FF" w14:paraId="629FBDCA" w14:textId="77777777" w:rsidTr="008A72AF">
        <w:trPr>
          <w:trHeight w:val="459"/>
        </w:trPr>
        <w:tc>
          <w:tcPr>
            <w:tcW w:w="5806" w:type="dxa"/>
            <w:gridSpan w:val="2"/>
          </w:tcPr>
          <w:p w14:paraId="611F6899" w14:textId="77777777" w:rsidR="00BE380B" w:rsidRPr="00920E84" w:rsidRDefault="004175FF" w:rsidP="00B074A2">
            <w:pPr>
              <w:rPr>
                <w:color w:val="0070C0"/>
              </w:rPr>
            </w:pPr>
            <w:r w:rsidRPr="00920E84">
              <w:rPr>
                <w:b/>
                <w:color w:val="0070C0"/>
              </w:rPr>
              <w:t>Odhad počtu osob s </w:t>
            </w:r>
            <w:proofErr w:type="spellStart"/>
            <w:r w:rsidRPr="00920E84">
              <w:rPr>
                <w:b/>
                <w:color w:val="0070C0"/>
              </w:rPr>
              <w:t>antidiabetickou</w:t>
            </w:r>
            <w:proofErr w:type="spellEnd"/>
            <w:r w:rsidRPr="00920E84">
              <w:rPr>
                <w:b/>
                <w:color w:val="0070C0"/>
              </w:rPr>
              <w:t xml:space="preserve"> léčbou</w:t>
            </w:r>
            <w:r w:rsidRPr="00920E84">
              <w:rPr>
                <w:color w:val="0070C0"/>
              </w:rPr>
              <w:t xml:space="preserve"> </w:t>
            </w:r>
          </w:p>
          <w:p w14:paraId="2D8EA6CE" w14:textId="01E741F1" w:rsidR="004175FF" w:rsidRDefault="004175FF" w:rsidP="00B074A2">
            <w:r>
              <w:t>(data NRHZS 2015–2017</w:t>
            </w:r>
            <w:r w:rsidR="00ED7C94">
              <w:t xml:space="preserve">; </w:t>
            </w:r>
            <w:r w:rsidR="00ED7C94">
              <w:t>předběžná analýza</w:t>
            </w:r>
            <w:r>
              <w:t>)</w:t>
            </w:r>
          </w:p>
          <w:p w14:paraId="54A1EA20" w14:textId="77777777" w:rsidR="004175FF" w:rsidRDefault="004175FF" w:rsidP="00B074A2"/>
        </w:tc>
      </w:tr>
      <w:tr w:rsidR="004175FF" w14:paraId="700AD559" w14:textId="77777777" w:rsidTr="008A72AF">
        <w:trPr>
          <w:trHeight w:val="433"/>
        </w:trPr>
        <w:tc>
          <w:tcPr>
            <w:tcW w:w="2400" w:type="dxa"/>
          </w:tcPr>
          <w:p w14:paraId="2540EB5D" w14:textId="77777777" w:rsidR="004175FF" w:rsidRDefault="004175FF" w:rsidP="00B074A2">
            <w:r>
              <w:t>2015</w:t>
            </w:r>
          </w:p>
        </w:tc>
        <w:tc>
          <w:tcPr>
            <w:tcW w:w="3405" w:type="dxa"/>
          </w:tcPr>
          <w:p w14:paraId="469227BA" w14:textId="0B3B4C90" w:rsidR="004175FF" w:rsidRDefault="004175FF" w:rsidP="00B074A2">
            <w:r>
              <w:t>704 811</w:t>
            </w:r>
          </w:p>
        </w:tc>
      </w:tr>
      <w:tr w:rsidR="004175FF" w14:paraId="2078A0C5" w14:textId="77777777" w:rsidTr="008A72AF">
        <w:trPr>
          <w:trHeight w:val="459"/>
        </w:trPr>
        <w:tc>
          <w:tcPr>
            <w:tcW w:w="2400" w:type="dxa"/>
          </w:tcPr>
          <w:p w14:paraId="6AA79BCF" w14:textId="77777777" w:rsidR="004175FF" w:rsidRDefault="004175FF" w:rsidP="00B074A2">
            <w:r>
              <w:t>2016</w:t>
            </w:r>
          </w:p>
        </w:tc>
        <w:tc>
          <w:tcPr>
            <w:tcW w:w="3405" w:type="dxa"/>
          </w:tcPr>
          <w:p w14:paraId="3B11445E" w14:textId="0803076D" w:rsidR="004175FF" w:rsidRDefault="004175FF" w:rsidP="00B074A2">
            <w:r>
              <w:t>746 123</w:t>
            </w:r>
          </w:p>
        </w:tc>
      </w:tr>
      <w:tr w:rsidR="004175FF" w14:paraId="305B9ED3" w14:textId="77777777" w:rsidTr="008A72AF">
        <w:trPr>
          <w:trHeight w:val="433"/>
        </w:trPr>
        <w:tc>
          <w:tcPr>
            <w:tcW w:w="2400" w:type="dxa"/>
          </w:tcPr>
          <w:p w14:paraId="4EBC5824" w14:textId="77777777" w:rsidR="004175FF" w:rsidRPr="00AE440B" w:rsidRDefault="004175FF" w:rsidP="00B074A2">
            <w:pPr>
              <w:rPr>
                <w:b/>
              </w:rPr>
            </w:pPr>
            <w:r w:rsidRPr="00AE440B">
              <w:rPr>
                <w:b/>
              </w:rPr>
              <w:t>2017</w:t>
            </w:r>
          </w:p>
        </w:tc>
        <w:tc>
          <w:tcPr>
            <w:tcW w:w="3405" w:type="dxa"/>
          </w:tcPr>
          <w:p w14:paraId="2A8E4E39" w14:textId="437CB95B" w:rsidR="004175FF" w:rsidRPr="00AE440B" w:rsidRDefault="004175FF" w:rsidP="00B074A2">
            <w:pPr>
              <w:rPr>
                <w:b/>
              </w:rPr>
            </w:pPr>
            <w:r w:rsidRPr="00AE440B">
              <w:rPr>
                <w:b/>
              </w:rPr>
              <w:t>762 149</w:t>
            </w:r>
          </w:p>
        </w:tc>
      </w:tr>
    </w:tbl>
    <w:p w14:paraId="21B16579" w14:textId="61FBC6AF" w:rsidR="004175FF" w:rsidRDefault="004175FF" w:rsidP="00ED7C94">
      <w:pPr>
        <w:spacing w:after="0"/>
        <w:jc w:val="both"/>
      </w:pPr>
      <w:r>
        <w:t xml:space="preserve">Za léčené pacienty </w:t>
      </w:r>
      <w:r w:rsidRPr="004175FF">
        <w:t xml:space="preserve">dle dat NRHZS považujeme pacienty, kteří mají v daném roce a/nebo v roce předcházejícím záznam o léčbě inzulínem a/nebo perorálními </w:t>
      </w:r>
      <w:proofErr w:type="spellStart"/>
      <w:r w:rsidRPr="004175FF">
        <w:t>antidiabetiky</w:t>
      </w:r>
      <w:proofErr w:type="spellEnd"/>
      <w:r w:rsidRPr="004175FF">
        <w:t xml:space="preserve"> (léčiva z ATC skupiny A10A a/nebo A10B). Počet léčených v roce 2015 dle dat NRHZS je podhodnocen, jelikož nejsou k dispozici data o léčbě v předcházejícím roce.</w:t>
      </w:r>
    </w:p>
    <w:p w14:paraId="29C20E95" w14:textId="62A73E48" w:rsidR="004175FF" w:rsidRDefault="004175FF" w:rsidP="00B074A2">
      <w:pPr>
        <w:spacing w:after="0"/>
      </w:pPr>
    </w:p>
    <w:p w14:paraId="450D4352" w14:textId="2ABF263F" w:rsidR="004175FF" w:rsidRDefault="004175FF" w:rsidP="00B074A2">
      <w:pPr>
        <w:spacing w:after="0"/>
      </w:pPr>
    </w:p>
    <w:p w14:paraId="022B11D6" w14:textId="77777777" w:rsidR="004622B9" w:rsidRDefault="004622B9" w:rsidP="00B074A2">
      <w:pPr>
        <w:spacing w:after="0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439"/>
        <w:gridCol w:w="2384"/>
        <w:gridCol w:w="2551"/>
        <w:gridCol w:w="2688"/>
      </w:tblGrid>
      <w:tr w:rsidR="004175FF" w14:paraId="188AFB13" w14:textId="50B727DC" w:rsidTr="00AC64FA">
        <w:trPr>
          <w:trHeight w:val="471"/>
        </w:trPr>
        <w:tc>
          <w:tcPr>
            <w:tcW w:w="9062" w:type="dxa"/>
            <w:gridSpan w:val="4"/>
          </w:tcPr>
          <w:p w14:paraId="1B958D2A" w14:textId="0322DD02" w:rsidR="004175FF" w:rsidRPr="00920E84" w:rsidRDefault="004175FF" w:rsidP="00B074A2">
            <w:pPr>
              <w:rPr>
                <w:b/>
                <w:color w:val="0070C0"/>
              </w:rPr>
            </w:pPr>
            <w:r w:rsidRPr="00920E84">
              <w:rPr>
                <w:b/>
                <w:color w:val="0070C0"/>
              </w:rPr>
              <w:t xml:space="preserve">Statistická predikce </w:t>
            </w:r>
            <w:r w:rsidR="004622B9" w:rsidRPr="00920E84">
              <w:rPr>
                <w:b/>
                <w:color w:val="0070C0"/>
              </w:rPr>
              <w:t>prevalence (</w:t>
            </w:r>
            <w:r w:rsidRPr="00920E84">
              <w:rPr>
                <w:b/>
                <w:color w:val="0070C0"/>
              </w:rPr>
              <w:t>počtu pacientů</w:t>
            </w:r>
            <w:r w:rsidR="004622B9" w:rsidRPr="00920E84">
              <w:rPr>
                <w:b/>
                <w:color w:val="0070C0"/>
              </w:rPr>
              <w:t>)</w:t>
            </w:r>
            <w:r w:rsidRPr="00920E84">
              <w:rPr>
                <w:b/>
                <w:color w:val="0070C0"/>
              </w:rPr>
              <w:t xml:space="preserve"> DM v ČR </w:t>
            </w:r>
          </w:p>
          <w:p w14:paraId="597A30AE" w14:textId="0DAB3B07" w:rsidR="00ED7C94" w:rsidRDefault="004175FF" w:rsidP="00B074A2">
            <w:r>
              <w:t>(data NRHZS 2015–2017</w:t>
            </w:r>
            <w:r w:rsidR="00FB2DA2" w:rsidRPr="004175FF">
              <w:t>;</w:t>
            </w:r>
            <w:r w:rsidR="00FB2DA2">
              <w:t xml:space="preserve"> předběžná analýza</w:t>
            </w:r>
            <w:bookmarkStart w:id="0" w:name="_GoBack"/>
            <w:bookmarkEnd w:id="0"/>
            <w:r>
              <w:t xml:space="preserve">, </w:t>
            </w:r>
            <w:r w:rsidRPr="004175FF">
              <w:t>pacienti s DM</w:t>
            </w:r>
            <w:r w:rsidR="00ED7C94">
              <w:t>,</w:t>
            </w:r>
            <w:r w:rsidRPr="004175FF">
              <w:t xml:space="preserve"> </w:t>
            </w:r>
          </w:p>
          <w:p w14:paraId="535550C2" w14:textId="17C41C31" w:rsidR="004175FF" w:rsidRDefault="004175FF" w:rsidP="00B074A2">
            <w:r w:rsidRPr="004175FF">
              <w:t>Český statistický úřad – Projekce obyvatelstva ČR</w:t>
            </w:r>
            <w:r>
              <w:t>)</w:t>
            </w:r>
          </w:p>
          <w:p w14:paraId="1D8103F5" w14:textId="6E2EB5B6" w:rsidR="004175FF" w:rsidRPr="004175FF" w:rsidRDefault="004175FF" w:rsidP="00B074A2">
            <w:pPr>
              <w:rPr>
                <w:b/>
              </w:rPr>
            </w:pPr>
          </w:p>
        </w:tc>
      </w:tr>
      <w:tr w:rsidR="004622B9" w14:paraId="5FA99CC9" w14:textId="79818A18" w:rsidTr="00112DFE">
        <w:trPr>
          <w:trHeight w:val="445"/>
        </w:trPr>
        <w:tc>
          <w:tcPr>
            <w:tcW w:w="1439" w:type="dxa"/>
          </w:tcPr>
          <w:p w14:paraId="26CEC3C6" w14:textId="42EBEF82" w:rsidR="004622B9" w:rsidRDefault="004622B9" w:rsidP="00B074A2">
            <w:r w:rsidRPr="004622B9">
              <w:t>Pozorovaná prevalence</w:t>
            </w:r>
          </w:p>
        </w:tc>
        <w:tc>
          <w:tcPr>
            <w:tcW w:w="7623" w:type="dxa"/>
            <w:gridSpan w:val="3"/>
          </w:tcPr>
          <w:p w14:paraId="799BAE7B" w14:textId="65049773" w:rsidR="004622B9" w:rsidRDefault="004622B9" w:rsidP="00B074A2">
            <w:r w:rsidRPr="004622B9">
              <w:t xml:space="preserve">Predikce prevalence </w:t>
            </w:r>
            <w:r w:rsidRPr="004622B9">
              <w:br/>
              <w:t xml:space="preserve">(včetně </w:t>
            </w:r>
            <w:proofErr w:type="gramStart"/>
            <w:r w:rsidRPr="004622B9">
              <w:t>95%</w:t>
            </w:r>
            <w:proofErr w:type="gramEnd"/>
            <w:r w:rsidRPr="004622B9">
              <w:t xml:space="preserve"> intervalů spolehlivosti)</w:t>
            </w:r>
          </w:p>
        </w:tc>
      </w:tr>
      <w:tr w:rsidR="004622B9" w14:paraId="4605EF54" w14:textId="648196F3" w:rsidTr="00E84E57">
        <w:trPr>
          <w:trHeight w:val="471"/>
        </w:trPr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F0C335" w14:textId="201E64CF" w:rsidR="004622B9" w:rsidRDefault="004622B9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>Rok 2017</w:t>
            </w: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7D8938" w14:textId="490E2361" w:rsidR="004622B9" w:rsidRDefault="004622B9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>Rok 2020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A7A213" w14:textId="3E701356" w:rsidR="004622B9" w:rsidRDefault="004622B9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>Rok 2025</w:t>
            </w:r>
          </w:p>
        </w:tc>
        <w:tc>
          <w:tcPr>
            <w:tcW w:w="2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88C244" w14:textId="6CA28E93" w:rsidR="004622B9" w:rsidRDefault="004622B9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>Rok 2030</w:t>
            </w:r>
          </w:p>
        </w:tc>
      </w:tr>
      <w:tr w:rsidR="004622B9" w14:paraId="5085FDC9" w14:textId="4B918A50" w:rsidTr="007647DE">
        <w:trPr>
          <w:trHeight w:val="445"/>
        </w:trPr>
        <w:tc>
          <w:tcPr>
            <w:tcW w:w="1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BB3604" w14:textId="5B2E3C00" w:rsidR="004622B9" w:rsidRPr="004622B9" w:rsidRDefault="004622B9" w:rsidP="00B074A2">
            <w:r w:rsidRPr="004622B9">
              <w:rPr>
                <w:rFonts w:ascii="Calibri" w:hAnsi="Calibri" w:cs="Calibri"/>
                <w:bCs/>
                <w:color w:val="000000" w:themeColor="text1"/>
                <w:kern w:val="24"/>
              </w:rPr>
              <w:t>995 613</w:t>
            </w: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1422C0" w14:textId="17C0C16A" w:rsidR="004622B9" w:rsidRDefault="004622B9" w:rsidP="00B074A2">
            <w:r>
              <w:rPr>
                <w:rFonts w:ascii="Calibri" w:hAnsi="Calibri" w:cs="Calibri"/>
                <w:color w:val="000000"/>
                <w:kern w:val="24"/>
              </w:rPr>
              <w:t xml:space="preserve">1 043 036 </w:t>
            </w:r>
            <w:r>
              <w:rPr>
                <w:rFonts w:ascii="Calibri" w:hAnsi="Calibri" w:cs="Calibri"/>
                <w:color w:val="000000"/>
                <w:kern w:val="24"/>
              </w:rPr>
              <w:br/>
              <w:t>(1 034 101 - 1 051 971)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A3FC29" w14:textId="58C8CB2F" w:rsidR="004622B9" w:rsidRDefault="004622B9" w:rsidP="00B074A2">
            <w:r>
              <w:rPr>
                <w:rFonts w:ascii="Calibri" w:hAnsi="Calibri" w:cs="Calibri"/>
                <w:color w:val="000000"/>
                <w:kern w:val="24"/>
              </w:rPr>
              <w:t xml:space="preserve">1 117 041 </w:t>
            </w:r>
            <w:r>
              <w:rPr>
                <w:rFonts w:ascii="Calibri" w:hAnsi="Calibri" w:cs="Calibri"/>
                <w:color w:val="000000"/>
                <w:kern w:val="24"/>
              </w:rPr>
              <w:br/>
              <w:t>(1 108 033 - 1 126 049)</w:t>
            </w:r>
          </w:p>
        </w:tc>
        <w:tc>
          <w:tcPr>
            <w:tcW w:w="2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73F036" w14:textId="2A27B573" w:rsidR="004622B9" w:rsidRDefault="004622B9" w:rsidP="00B074A2">
            <w:r>
              <w:rPr>
                <w:rFonts w:ascii="Calibri" w:hAnsi="Calibri" w:cs="Calibri"/>
                <w:color w:val="000000"/>
                <w:kern w:val="24"/>
              </w:rPr>
              <w:t xml:space="preserve">1 182 280 </w:t>
            </w:r>
            <w:r>
              <w:rPr>
                <w:rFonts w:ascii="Calibri" w:hAnsi="Calibri" w:cs="Calibri"/>
                <w:color w:val="000000"/>
                <w:kern w:val="24"/>
              </w:rPr>
              <w:br/>
              <w:t>(1 173 443 - 1 191 117)</w:t>
            </w:r>
          </w:p>
        </w:tc>
      </w:tr>
    </w:tbl>
    <w:p w14:paraId="05DE6BBC" w14:textId="384AD402" w:rsidR="004175FF" w:rsidRDefault="004622B9" w:rsidP="00ED7C94">
      <w:pPr>
        <w:spacing w:after="0"/>
        <w:jc w:val="both"/>
      </w:pPr>
      <w:r w:rsidRPr="004622B9">
        <w:t>Zatímco v roce 2017 byl zaznamenán téměř 1 milion nemocných s DM, statistická predikce předpovídá pro rok 2030 již téměř 1,2 milionu nemocných. Vzhledem ke krátké predikční bázi nebyl zahrnut trend ve věkově specifické prevalenci, jedná se o konzervativní scénář vyplývající pouze z demografického stárnutí české populace (z toho vyplývají i úzké predikční intervaly).</w:t>
      </w:r>
    </w:p>
    <w:p w14:paraId="29B43282" w14:textId="010280A5" w:rsidR="004622B9" w:rsidRDefault="004622B9" w:rsidP="00B074A2">
      <w:pPr>
        <w:spacing w:after="0"/>
      </w:pPr>
    </w:p>
    <w:p w14:paraId="580DDE21" w14:textId="270F8DEE" w:rsidR="004622B9" w:rsidRDefault="004622B9" w:rsidP="00B074A2">
      <w:pPr>
        <w:spacing w:after="0"/>
      </w:pPr>
    </w:p>
    <w:p w14:paraId="1AC49EA8" w14:textId="0407598B" w:rsidR="004622B9" w:rsidRDefault="004622B9" w:rsidP="00B074A2">
      <w:pPr>
        <w:spacing w:after="0"/>
      </w:pPr>
    </w:p>
    <w:p w14:paraId="2902DA0D" w14:textId="6D73F32C" w:rsidR="004622B9" w:rsidRDefault="004622B9" w:rsidP="00B074A2">
      <w:pPr>
        <w:spacing w:after="0"/>
      </w:pPr>
    </w:p>
    <w:tbl>
      <w:tblPr>
        <w:tblStyle w:val="Mkatabulky"/>
        <w:tblW w:w="9062" w:type="dxa"/>
        <w:tblLook w:val="04A0" w:firstRow="1" w:lastRow="0" w:firstColumn="1" w:lastColumn="0" w:noHBand="0" w:noVBand="1"/>
      </w:tblPr>
      <w:tblGrid>
        <w:gridCol w:w="2474"/>
        <w:gridCol w:w="3333"/>
        <w:gridCol w:w="3255"/>
      </w:tblGrid>
      <w:tr w:rsidR="00920E84" w14:paraId="26B9F1A0" w14:textId="15895F5F" w:rsidTr="007D2AD9">
        <w:trPr>
          <w:trHeight w:val="212"/>
        </w:trPr>
        <w:tc>
          <w:tcPr>
            <w:tcW w:w="9062" w:type="dxa"/>
            <w:gridSpan w:val="3"/>
          </w:tcPr>
          <w:p w14:paraId="7AB59691" w14:textId="77777777" w:rsidR="00920E84" w:rsidRPr="00BE380B" w:rsidRDefault="00920E84" w:rsidP="00B074A2">
            <w:pPr>
              <w:rPr>
                <w:b/>
              </w:rPr>
            </w:pPr>
            <w:r w:rsidRPr="00BE380B">
              <w:rPr>
                <w:b/>
              </w:rPr>
              <w:t>Počet diabetiků dle bydliště ve vztahu k počtu obyvatel daného regionu</w:t>
            </w:r>
          </w:p>
          <w:p w14:paraId="6DDBE263" w14:textId="2F481E60" w:rsidR="00920E84" w:rsidRDefault="00920E84" w:rsidP="00B074A2">
            <w:r>
              <w:t xml:space="preserve">(data </w:t>
            </w:r>
            <w:r w:rsidRPr="00BE380B">
              <w:t>NRHZS 2017</w:t>
            </w:r>
            <w:r w:rsidR="00FB2DA2">
              <w:t>; předběžná analýza</w:t>
            </w:r>
            <w:r w:rsidR="00ED7C94">
              <w:t>,</w:t>
            </w:r>
            <w:r w:rsidRPr="00BE380B">
              <w:t xml:space="preserve"> pacienti se záznamem potvrzujícím DM v roce 2017 (N</w:t>
            </w:r>
            <w:r w:rsidR="00FB2DA2">
              <w:t> </w:t>
            </w:r>
            <w:r w:rsidRPr="00BE380B">
              <w:t>=</w:t>
            </w:r>
            <w:r w:rsidR="00FB2DA2">
              <w:t> </w:t>
            </w:r>
            <w:r w:rsidRPr="00BE380B">
              <w:t>995 613),</w:t>
            </w:r>
            <w:r w:rsidR="00FB2DA2">
              <w:t xml:space="preserve"> </w:t>
            </w:r>
            <w:r w:rsidRPr="00BE380B">
              <w:t>bydliště není uvedeno / mimo ČR u 2 352 pacientů (0,2 %)</w:t>
            </w:r>
            <w:r>
              <w:t>)</w:t>
            </w:r>
          </w:p>
          <w:p w14:paraId="2788D86B" w14:textId="77777777" w:rsidR="00920E84" w:rsidRDefault="00920E84" w:rsidP="00B074A2"/>
          <w:p w14:paraId="47E33C70" w14:textId="77777777" w:rsidR="00920E84" w:rsidRPr="00920E84" w:rsidRDefault="00920E84" w:rsidP="00B074A2">
            <w:pPr>
              <w:rPr>
                <w:b/>
                <w:color w:val="0070C0"/>
              </w:rPr>
            </w:pPr>
            <w:r w:rsidRPr="00AE440B">
              <w:rPr>
                <w:b/>
                <w:color w:val="0070C0"/>
              </w:rPr>
              <w:t>POČET OSOB S DM V PŘEPOČTU NA 100 000 OBYVATEL DANÉHO KRAJE</w:t>
            </w:r>
          </w:p>
          <w:p w14:paraId="521C6A72" w14:textId="77777777" w:rsidR="00920E84" w:rsidRPr="00BE380B" w:rsidRDefault="00920E84" w:rsidP="00B074A2">
            <w:pPr>
              <w:rPr>
                <w:b/>
              </w:rPr>
            </w:pPr>
          </w:p>
        </w:tc>
      </w:tr>
      <w:tr w:rsidR="00BE380B" w14:paraId="181FDD87" w14:textId="272C7454" w:rsidTr="00920E84">
        <w:trPr>
          <w:trHeight w:val="200"/>
        </w:trPr>
        <w:tc>
          <w:tcPr>
            <w:tcW w:w="2474" w:type="dxa"/>
          </w:tcPr>
          <w:p w14:paraId="06069E0C" w14:textId="6BB6F4B8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Královéhradecký kraj</w:t>
            </w:r>
          </w:p>
        </w:tc>
        <w:tc>
          <w:tcPr>
            <w:tcW w:w="3333" w:type="dxa"/>
          </w:tcPr>
          <w:p w14:paraId="46E9F319" w14:textId="78F82C1D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10 076</w:t>
            </w:r>
          </w:p>
        </w:tc>
        <w:tc>
          <w:tcPr>
            <w:tcW w:w="3255" w:type="dxa"/>
            <w:vAlign w:val="center"/>
          </w:tcPr>
          <w:p w14:paraId="6F7776FB" w14:textId="66A4893B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606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7B2E60C3" w14:textId="551C6B6D" w:rsidTr="00920E84">
        <w:trPr>
          <w:trHeight w:val="212"/>
        </w:trPr>
        <w:tc>
          <w:tcPr>
            <w:tcW w:w="2474" w:type="dxa"/>
          </w:tcPr>
          <w:p w14:paraId="6C3A62AF" w14:textId="0343A424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Moravskoslezský kraj</w:t>
            </w:r>
          </w:p>
        </w:tc>
        <w:tc>
          <w:tcPr>
            <w:tcW w:w="3333" w:type="dxa"/>
          </w:tcPr>
          <w:p w14:paraId="16E8C731" w14:textId="5399790A" w:rsidR="00BE380B" w:rsidRPr="00BE380B" w:rsidRDefault="00BE380B" w:rsidP="00B074A2">
            <w:r w:rsidRPr="00BE380B">
              <w:t>10 042</w:t>
            </w:r>
          </w:p>
        </w:tc>
        <w:tc>
          <w:tcPr>
            <w:tcW w:w="3255" w:type="dxa"/>
            <w:vAlign w:val="center"/>
          </w:tcPr>
          <w:p w14:paraId="3E521255" w14:textId="5133E80D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970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65A5B64D" w14:textId="6D9629A2" w:rsidTr="00920E84">
        <w:trPr>
          <w:trHeight w:val="200"/>
        </w:trPr>
        <w:tc>
          <w:tcPr>
            <w:tcW w:w="2474" w:type="dxa"/>
            <w:vAlign w:val="bottom"/>
          </w:tcPr>
          <w:p w14:paraId="46AB9E16" w14:textId="400D5E22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Ústecký kraj</w:t>
            </w:r>
          </w:p>
        </w:tc>
        <w:tc>
          <w:tcPr>
            <w:tcW w:w="3333" w:type="dxa"/>
            <w:vAlign w:val="bottom"/>
          </w:tcPr>
          <w:p w14:paraId="40DC7C9F" w14:textId="791B764B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10 008</w:t>
            </w:r>
          </w:p>
        </w:tc>
        <w:tc>
          <w:tcPr>
            <w:tcW w:w="3255" w:type="dxa"/>
            <w:vAlign w:val="center"/>
          </w:tcPr>
          <w:p w14:paraId="34C81520" w14:textId="449171AE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10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228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0923E009" w14:textId="7ADF4E67" w:rsidTr="00920E84">
        <w:trPr>
          <w:trHeight w:val="212"/>
        </w:trPr>
        <w:tc>
          <w:tcPr>
            <w:tcW w:w="2474" w:type="dxa"/>
            <w:vAlign w:val="bottom"/>
          </w:tcPr>
          <w:p w14:paraId="03EFF0C5" w14:textId="5BE1181D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Kraj Vysočina</w:t>
            </w:r>
          </w:p>
        </w:tc>
        <w:tc>
          <w:tcPr>
            <w:tcW w:w="3333" w:type="dxa"/>
            <w:vAlign w:val="bottom"/>
          </w:tcPr>
          <w:p w14:paraId="26F46719" w14:textId="2D9613BB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9 951</w:t>
            </w:r>
          </w:p>
        </w:tc>
        <w:tc>
          <w:tcPr>
            <w:tcW w:w="3255" w:type="dxa"/>
            <w:vAlign w:val="center"/>
          </w:tcPr>
          <w:p w14:paraId="63CFC731" w14:textId="4B351BCA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715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7FFA09E6" w14:textId="351993B8" w:rsidTr="00920E84">
        <w:trPr>
          <w:trHeight w:val="200"/>
        </w:trPr>
        <w:tc>
          <w:tcPr>
            <w:tcW w:w="2474" w:type="dxa"/>
            <w:vAlign w:val="bottom"/>
          </w:tcPr>
          <w:p w14:paraId="555B4939" w14:textId="6567019A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Olomoucký kraj</w:t>
            </w:r>
          </w:p>
        </w:tc>
        <w:tc>
          <w:tcPr>
            <w:tcW w:w="3333" w:type="dxa"/>
            <w:vAlign w:val="bottom"/>
          </w:tcPr>
          <w:p w14:paraId="2A14EDF8" w14:textId="717FC9C4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9 940</w:t>
            </w:r>
          </w:p>
        </w:tc>
        <w:tc>
          <w:tcPr>
            <w:tcW w:w="3255" w:type="dxa"/>
            <w:vAlign w:val="center"/>
          </w:tcPr>
          <w:p w14:paraId="3144C96B" w14:textId="38D9F01A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719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346F5EC4" w14:textId="36EFE3F7" w:rsidTr="00920E84">
        <w:trPr>
          <w:trHeight w:val="212"/>
        </w:trPr>
        <w:tc>
          <w:tcPr>
            <w:tcW w:w="2474" w:type="dxa"/>
            <w:vAlign w:val="bottom"/>
          </w:tcPr>
          <w:p w14:paraId="531A8688" w14:textId="3BB54E75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Zlínský kraj</w:t>
            </w:r>
          </w:p>
        </w:tc>
        <w:tc>
          <w:tcPr>
            <w:tcW w:w="3333" w:type="dxa"/>
            <w:vAlign w:val="bottom"/>
          </w:tcPr>
          <w:p w14:paraId="3BA7EE57" w14:textId="1D4D568E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9 775</w:t>
            </w:r>
          </w:p>
        </w:tc>
        <w:tc>
          <w:tcPr>
            <w:tcW w:w="3255" w:type="dxa"/>
            <w:vAlign w:val="center"/>
          </w:tcPr>
          <w:p w14:paraId="2C094942" w14:textId="753BBE79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452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33F21AFD" w14:textId="7B4C2A3C" w:rsidTr="00920E84">
        <w:trPr>
          <w:trHeight w:val="212"/>
        </w:trPr>
        <w:tc>
          <w:tcPr>
            <w:tcW w:w="2474" w:type="dxa"/>
            <w:vAlign w:val="bottom"/>
          </w:tcPr>
          <w:p w14:paraId="6CEEFAD9" w14:textId="358FAC5B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Pardubický kraj</w:t>
            </w:r>
          </w:p>
        </w:tc>
        <w:tc>
          <w:tcPr>
            <w:tcW w:w="3333" w:type="dxa"/>
            <w:vAlign w:val="bottom"/>
          </w:tcPr>
          <w:p w14:paraId="271A3864" w14:textId="2FA2581D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9 773</w:t>
            </w:r>
          </w:p>
        </w:tc>
        <w:tc>
          <w:tcPr>
            <w:tcW w:w="3255" w:type="dxa"/>
            <w:vAlign w:val="center"/>
          </w:tcPr>
          <w:p w14:paraId="33FD4805" w14:textId="42092ACD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665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4FDD3557" w14:textId="16C0A3FD" w:rsidTr="00920E84">
        <w:trPr>
          <w:trHeight w:val="200"/>
        </w:trPr>
        <w:tc>
          <w:tcPr>
            <w:tcW w:w="2474" w:type="dxa"/>
            <w:vAlign w:val="bottom"/>
          </w:tcPr>
          <w:p w14:paraId="2F973714" w14:textId="63D3EE55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Jihočeský kraj</w:t>
            </w:r>
          </w:p>
        </w:tc>
        <w:tc>
          <w:tcPr>
            <w:tcW w:w="3333" w:type="dxa"/>
            <w:vAlign w:val="bottom"/>
          </w:tcPr>
          <w:p w14:paraId="5728B60F" w14:textId="07C8EB2A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9 742</w:t>
            </w:r>
          </w:p>
        </w:tc>
        <w:tc>
          <w:tcPr>
            <w:tcW w:w="3255" w:type="dxa"/>
            <w:vAlign w:val="center"/>
          </w:tcPr>
          <w:p w14:paraId="775FCEEA" w14:textId="7BA179C4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566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7FC548B3" w14:textId="3191D514" w:rsidTr="00920E84">
        <w:trPr>
          <w:trHeight w:val="212"/>
        </w:trPr>
        <w:tc>
          <w:tcPr>
            <w:tcW w:w="2474" w:type="dxa"/>
            <w:vAlign w:val="bottom"/>
          </w:tcPr>
          <w:p w14:paraId="46774E88" w14:textId="546B1376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Plzeňský kraj</w:t>
            </w:r>
          </w:p>
        </w:tc>
        <w:tc>
          <w:tcPr>
            <w:tcW w:w="3333" w:type="dxa"/>
            <w:vAlign w:val="bottom"/>
          </w:tcPr>
          <w:p w14:paraId="6A0C9537" w14:textId="640DBAE3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9 604</w:t>
            </w:r>
          </w:p>
        </w:tc>
        <w:tc>
          <w:tcPr>
            <w:tcW w:w="3255" w:type="dxa"/>
            <w:vAlign w:val="center"/>
          </w:tcPr>
          <w:p w14:paraId="42A833A9" w14:textId="22A5C6A3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412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BE380B" w14:paraId="51B9926E" w14:textId="49D2BA9A" w:rsidTr="00920E84">
        <w:trPr>
          <w:trHeight w:val="200"/>
        </w:trPr>
        <w:tc>
          <w:tcPr>
            <w:tcW w:w="2474" w:type="dxa"/>
            <w:vAlign w:val="bottom"/>
          </w:tcPr>
          <w:p w14:paraId="4E83068B" w14:textId="2AD674E1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Karlovarský kraj</w:t>
            </w:r>
          </w:p>
        </w:tc>
        <w:tc>
          <w:tcPr>
            <w:tcW w:w="3333" w:type="dxa"/>
            <w:vAlign w:val="bottom"/>
          </w:tcPr>
          <w:p w14:paraId="139EE4BB" w14:textId="7DC776F9" w:rsidR="00BE380B" w:rsidRPr="00BE380B" w:rsidRDefault="00BE380B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9 526</w:t>
            </w:r>
          </w:p>
        </w:tc>
        <w:tc>
          <w:tcPr>
            <w:tcW w:w="3255" w:type="dxa"/>
            <w:vAlign w:val="center"/>
          </w:tcPr>
          <w:p w14:paraId="344D887A" w14:textId="3E531325" w:rsidR="00BE380B" w:rsidRPr="00BE380B" w:rsidRDefault="00BE380B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 </w:t>
            </w:r>
            <w:r w:rsidRPr="00BE380B">
              <w:rPr>
                <w:rFonts w:ascii="Calibri" w:eastAsia="Times New Roman" w:hAnsi="Calibri" w:cs="Calibri"/>
                <w:lang w:eastAsia="cs-CZ"/>
              </w:rPr>
              <w:t>399</w:t>
            </w:r>
            <w:r w:rsidR="00920E84"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920E84" w14:paraId="43D271EC" w14:textId="1D7984B1" w:rsidTr="00920E84">
        <w:trPr>
          <w:trHeight w:val="200"/>
        </w:trPr>
        <w:tc>
          <w:tcPr>
            <w:tcW w:w="2474" w:type="dxa"/>
            <w:vAlign w:val="bottom"/>
          </w:tcPr>
          <w:p w14:paraId="766E5E24" w14:textId="62B06D71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Středočeský kraj</w:t>
            </w:r>
          </w:p>
        </w:tc>
        <w:tc>
          <w:tcPr>
            <w:tcW w:w="3333" w:type="dxa"/>
            <w:vAlign w:val="bottom"/>
          </w:tcPr>
          <w:p w14:paraId="031E7DF2" w14:textId="7F7498D4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9 197</w:t>
            </w:r>
          </w:p>
        </w:tc>
        <w:tc>
          <w:tcPr>
            <w:tcW w:w="3255" w:type="dxa"/>
            <w:vAlign w:val="center"/>
          </w:tcPr>
          <w:p w14:paraId="59E44202" w14:textId="6CB80DD5" w:rsidR="00920E84" w:rsidRPr="00BE380B" w:rsidRDefault="00920E84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920E84">
              <w:rPr>
                <w:rFonts w:ascii="Calibri" w:eastAsia="Times New Roman" w:hAnsi="Calibri" w:cs="Calibri"/>
                <w:lang w:eastAsia="cs-CZ"/>
              </w:rPr>
              <w:t>9</w:t>
            </w:r>
            <w:r>
              <w:rPr>
                <w:rFonts w:ascii="Calibri" w:eastAsia="Times New Roman" w:hAnsi="Calibri" w:cs="Calibri"/>
                <w:lang w:eastAsia="cs-CZ"/>
              </w:rPr>
              <w:t> </w:t>
            </w:r>
            <w:r w:rsidRPr="00920E84">
              <w:rPr>
                <w:rFonts w:ascii="Calibri" w:eastAsia="Times New Roman" w:hAnsi="Calibri" w:cs="Calibri"/>
                <w:lang w:eastAsia="cs-CZ"/>
              </w:rPr>
              <w:t>717</w:t>
            </w:r>
            <w:r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920E84" w14:paraId="2E370573" w14:textId="24C51A0C" w:rsidTr="00920E84">
        <w:trPr>
          <w:trHeight w:val="212"/>
        </w:trPr>
        <w:tc>
          <w:tcPr>
            <w:tcW w:w="2474" w:type="dxa"/>
            <w:vAlign w:val="bottom"/>
          </w:tcPr>
          <w:p w14:paraId="7B694FBD" w14:textId="25637021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Jihomoravský kraj</w:t>
            </w:r>
          </w:p>
        </w:tc>
        <w:tc>
          <w:tcPr>
            <w:tcW w:w="3333" w:type="dxa"/>
            <w:vAlign w:val="bottom"/>
          </w:tcPr>
          <w:p w14:paraId="1224F0D0" w14:textId="3717FB58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9 048</w:t>
            </w:r>
          </w:p>
        </w:tc>
        <w:tc>
          <w:tcPr>
            <w:tcW w:w="3255" w:type="dxa"/>
            <w:vAlign w:val="center"/>
          </w:tcPr>
          <w:p w14:paraId="3885179A" w14:textId="7B65800F" w:rsidR="00920E84" w:rsidRPr="00BE380B" w:rsidRDefault="00920E84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920E84">
              <w:rPr>
                <w:rFonts w:ascii="Calibri" w:eastAsia="Times New Roman" w:hAnsi="Calibri" w:cs="Calibri"/>
                <w:lang w:eastAsia="cs-CZ"/>
              </w:rPr>
              <w:t>8</w:t>
            </w:r>
            <w:r>
              <w:rPr>
                <w:rFonts w:ascii="Calibri" w:eastAsia="Times New Roman" w:hAnsi="Calibri" w:cs="Calibri"/>
                <w:lang w:eastAsia="cs-CZ"/>
              </w:rPr>
              <w:t> </w:t>
            </w:r>
            <w:r w:rsidRPr="00920E84">
              <w:rPr>
                <w:rFonts w:ascii="Calibri" w:eastAsia="Times New Roman" w:hAnsi="Calibri" w:cs="Calibri"/>
                <w:lang w:eastAsia="cs-CZ"/>
              </w:rPr>
              <w:t>996</w:t>
            </w:r>
            <w:r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920E84" w14:paraId="78163CD7" w14:textId="64E72F3B" w:rsidTr="00920E84">
        <w:trPr>
          <w:trHeight w:val="212"/>
        </w:trPr>
        <w:tc>
          <w:tcPr>
            <w:tcW w:w="2474" w:type="dxa"/>
            <w:vAlign w:val="bottom"/>
          </w:tcPr>
          <w:p w14:paraId="0FD8D4DD" w14:textId="72D16F50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Liberecký kraj</w:t>
            </w:r>
          </w:p>
        </w:tc>
        <w:tc>
          <w:tcPr>
            <w:tcW w:w="3333" w:type="dxa"/>
            <w:vAlign w:val="bottom"/>
          </w:tcPr>
          <w:p w14:paraId="0C6ACBB9" w14:textId="2E124266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8 790</w:t>
            </w:r>
          </w:p>
        </w:tc>
        <w:tc>
          <w:tcPr>
            <w:tcW w:w="3255" w:type="dxa"/>
            <w:vAlign w:val="center"/>
          </w:tcPr>
          <w:p w14:paraId="140BE4CB" w14:textId="7FEA2A49" w:rsidR="00920E84" w:rsidRPr="00BE380B" w:rsidRDefault="00920E84" w:rsidP="00B074A2">
            <w:pPr>
              <w:rPr>
                <w:rFonts w:ascii="Calibri" w:eastAsia="Times New Roman" w:hAnsi="Calibri" w:cs="Calibri"/>
                <w:lang w:eastAsia="cs-CZ"/>
              </w:rPr>
            </w:pPr>
            <w:r w:rsidRPr="00920E84">
              <w:rPr>
                <w:rFonts w:ascii="Calibri" w:eastAsia="Times New Roman" w:hAnsi="Calibri" w:cs="Calibri"/>
                <w:lang w:eastAsia="cs-CZ"/>
              </w:rPr>
              <w:t>8</w:t>
            </w:r>
            <w:r>
              <w:rPr>
                <w:rFonts w:ascii="Calibri" w:eastAsia="Times New Roman" w:hAnsi="Calibri" w:cs="Calibri"/>
                <w:lang w:eastAsia="cs-CZ"/>
              </w:rPr>
              <w:t> </w:t>
            </w:r>
            <w:r w:rsidRPr="00920E84">
              <w:rPr>
                <w:rFonts w:ascii="Calibri" w:eastAsia="Times New Roman" w:hAnsi="Calibri" w:cs="Calibri"/>
                <w:lang w:eastAsia="cs-CZ"/>
              </w:rPr>
              <w:t>852</w:t>
            </w:r>
            <w:r>
              <w:rPr>
                <w:rFonts w:ascii="Calibri" w:eastAsia="Times New Roman" w:hAnsi="Calibri" w:cs="Calibri"/>
                <w:lang w:eastAsia="cs-CZ"/>
              </w:rPr>
              <w:t>*</w:t>
            </w:r>
          </w:p>
        </w:tc>
      </w:tr>
      <w:tr w:rsidR="00920E84" w14:paraId="29406C53" w14:textId="27550AFA" w:rsidTr="00920E84">
        <w:trPr>
          <w:trHeight w:val="200"/>
        </w:trPr>
        <w:tc>
          <w:tcPr>
            <w:tcW w:w="2474" w:type="dxa"/>
            <w:vAlign w:val="bottom"/>
          </w:tcPr>
          <w:p w14:paraId="0828ECA2" w14:textId="67A83B48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Hlavní město Praha</w:t>
            </w:r>
          </w:p>
        </w:tc>
        <w:tc>
          <w:tcPr>
            <w:tcW w:w="3333" w:type="dxa"/>
            <w:vAlign w:val="bottom"/>
          </w:tcPr>
          <w:p w14:paraId="250AC551" w14:textId="0D8A1E52" w:rsidR="00920E84" w:rsidRPr="00BE380B" w:rsidRDefault="00920E84" w:rsidP="00B074A2">
            <w:r w:rsidRPr="00BE380B">
              <w:rPr>
                <w:rFonts w:ascii="Calibri" w:eastAsia="Times New Roman" w:hAnsi="Calibri" w:cs="Calibri"/>
                <w:lang w:eastAsia="cs-CZ"/>
              </w:rPr>
              <w:t>7 603</w:t>
            </w:r>
          </w:p>
        </w:tc>
        <w:tc>
          <w:tcPr>
            <w:tcW w:w="3255" w:type="dxa"/>
            <w:vAlign w:val="center"/>
          </w:tcPr>
          <w:p w14:paraId="0492DA63" w14:textId="15253288" w:rsidR="00920E84" w:rsidRPr="00BE380B" w:rsidRDefault="00920E84" w:rsidP="00B074A2">
            <w:pPr>
              <w:rPr>
                <w:rFonts w:ascii="Calibri" w:eastAsia="Times New Roman" w:hAnsi="Calibri" w:cs="Calibri"/>
                <w:lang w:eastAsia="cs-CZ"/>
              </w:rPr>
            </w:pPr>
            <w:r>
              <w:rPr>
                <w:rFonts w:ascii="Calibri" w:eastAsia="Times New Roman" w:hAnsi="Calibri" w:cs="Calibri"/>
                <w:lang w:eastAsia="cs-CZ"/>
              </w:rPr>
              <w:t>7 785*</w:t>
            </w:r>
          </w:p>
        </w:tc>
      </w:tr>
      <w:tr w:rsidR="00BE380B" w14:paraId="1F13F897" w14:textId="10D0B8F9" w:rsidTr="00920E84">
        <w:trPr>
          <w:trHeight w:val="200"/>
        </w:trPr>
        <w:tc>
          <w:tcPr>
            <w:tcW w:w="2474" w:type="dxa"/>
            <w:vAlign w:val="bottom"/>
          </w:tcPr>
          <w:p w14:paraId="2E243A71" w14:textId="426D7C1E" w:rsidR="00BE380B" w:rsidRPr="00BE380B" w:rsidRDefault="00BE380B" w:rsidP="00B074A2">
            <w:pPr>
              <w:rPr>
                <w:rFonts w:ascii="Calibri" w:eastAsia="Times New Roman" w:hAnsi="Calibri" w:cs="Calibri"/>
                <w:i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i/>
                <w:lang w:eastAsia="cs-CZ"/>
              </w:rPr>
              <w:t>Česká republika</w:t>
            </w:r>
          </w:p>
        </w:tc>
        <w:tc>
          <w:tcPr>
            <w:tcW w:w="3333" w:type="dxa"/>
            <w:vAlign w:val="bottom"/>
          </w:tcPr>
          <w:p w14:paraId="3EE2D50C" w14:textId="7D3F7225" w:rsidR="00BE380B" w:rsidRPr="00BE380B" w:rsidRDefault="00BE380B" w:rsidP="00B074A2">
            <w:pPr>
              <w:rPr>
                <w:rFonts w:ascii="Calibri" w:eastAsia="Times New Roman" w:hAnsi="Calibri" w:cs="Calibri"/>
                <w:i/>
                <w:lang w:eastAsia="cs-CZ"/>
              </w:rPr>
            </w:pPr>
            <w:r w:rsidRPr="00BE380B">
              <w:rPr>
                <w:rFonts w:ascii="Calibri" w:eastAsia="Times New Roman" w:hAnsi="Calibri" w:cs="Calibri"/>
                <w:i/>
                <w:lang w:eastAsia="cs-CZ"/>
              </w:rPr>
              <w:t>9 402</w:t>
            </w:r>
          </w:p>
        </w:tc>
        <w:tc>
          <w:tcPr>
            <w:tcW w:w="3255" w:type="dxa"/>
            <w:vAlign w:val="center"/>
          </w:tcPr>
          <w:p w14:paraId="3254D3FE" w14:textId="2458B846" w:rsidR="00BE380B" w:rsidRPr="00920E84" w:rsidRDefault="00BE380B" w:rsidP="00B074A2">
            <w:pPr>
              <w:rPr>
                <w:rFonts w:ascii="Calibri" w:eastAsia="Times New Roman" w:hAnsi="Calibri" w:cs="Calibri"/>
                <w:i/>
                <w:lang w:eastAsia="cs-CZ"/>
              </w:rPr>
            </w:pPr>
            <w:r w:rsidRPr="00920E84">
              <w:rPr>
                <w:rFonts w:ascii="Calibri" w:eastAsia="Times New Roman" w:hAnsi="Calibri" w:cs="Calibri"/>
                <w:i/>
                <w:lang w:eastAsia="cs-CZ"/>
              </w:rPr>
              <w:t>9</w:t>
            </w:r>
            <w:r w:rsidR="00920E84">
              <w:rPr>
                <w:rFonts w:ascii="Calibri" w:eastAsia="Times New Roman" w:hAnsi="Calibri" w:cs="Calibri"/>
                <w:i/>
                <w:lang w:eastAsia="cs-CZ"/>
              </w:rPr>
              <w:t> </w:t>
            </w:r>
            <w:r w:rsidRPr="00920E84">
              <w:rPr>
                <w:rFonts w:ascii="Calibri" w:eastAsia="Times New Roman" w:hAnsi="Calibri" w:cs="Calibri"/>
                <w:i/>
                <w:lang w:eastAsia="cs-CZ"/>
              </w:rPr>
              <w:t>402</w:t>
            </w:r>
            <w:r w:rsidR="00920E84">
              <w:rPr>
                <w:rFonts w:ascii="Calibri" w:eastAsia="Times New Roman" w:hAnsi="Calibri" w:cs="Calibri"/>
                <w:i/>
                <w:lang w:eastAsia="cs-CZ"/>
              </w:rPr>
              <w:t>*</w:t>
            </w:r>
          </w:p>
        </w:tc>
      </w:tr>
    </w:tbl>
    <w:p w14:paraId="778058B8" w14:textId="1B674063" w:rsidR="004622B9" w:rsidRDefault="00920E84" w:rsidP="00ED7C94">
      <w:pPr>
        <w:spacing w:after="0"/>
        <w:jc w:val="both"/>
        <w:rPr>
          <w:sz w:val="20"/>
        </w:rPr>
      </w:pPr>
      <w:r>
        <w:t xml:space="preserve">* </w:t>
      </w:r>
      <w:r w:rsidRPr="00920E84">
        <w:rPr>
          <w:sz w:val="20"/>
        </w:rPr>
        <w:t>Věkově standardizovaná hodnota zohledňuje rozdíly ve věkové struktuře obyvatel jednotlivých krajů, tj. udává teoretický počet případů na 100 000 obyvatel daného kraje v situaci, kdy je věková struktura obyvatel všech krajů shodná. Za referenční populaci je zde považována celá České republika.</w:t>
      </w:r>
    </w:p>
    <w:p w14:paraId="631DD727" w14:textId="0AD3CE0F" w:rsidR="00920E84" w:rsidRDefault="00920E84" w:rsidP="00ED7C94">
      <w:pPr>
        <w:spacing w:after="0"/>
        <w:jc w:val="both"/>
      </w:pPr>
    </w:p>
    <w:p w14:paraId="7A94D596" w14:textId="3DF6CDB5" w:rsidR="00920E84" w:rsidRDefault="00920E84" w:rsidP="00ED7C94">
      <w:pPr>
        <w:spacing w:after="0"/>
        <w:jc w:val="both"/>
      </w:pPr>
      <w:r w:rsidRPr="00920E84">
        <w:t>Podle dat NRHZS je v ČR zaznamenána DM s četností 9 402 případů na 100 000 obyvatel (data za rok 2017). Nejvyšší výskyt vzhledem k počtu obyvatel je v Královéhradeckém, Moravskoslezském a</w:t>
      </w:r>
      <w:r w:rsidR="00ED7C94">
        <w:t> </w:t>
      </w:r>
      <w:r w:rsidRPr="00920E84">
        <w:t>Ústeckém kraji (&gt; 10 % populace v kraji), naopak výrazně nižší počet zaznamenaných případů je v Hl. m. Praha, a to i po provedení věkové standardizace.</w:t>
      </w:r>
    </w:p>
    <w:p w14:paraId="4D604E00" w14:textId="77777777" w:rsidR="00BE380B" w:rsidRDefault="00BE380B" w:rsidP="00B074A2">
      <w:pPr>
        <w:spacing w:after="0"/>
      </w:pPr>
    </w:p>
    <w:p w14:paraId="3014435C" w14:textId="2F1CDAC8" w:rsidR="004622B9" w:rsidRDefault="00BE380B" w:rsidP="00B074A2">
      <w:pPr>
        <w:spacing w:after="0"/>
      </w:pPr>
      <w:r>
        <w:rPr>
          <w:noProof/>
        </w:rPr>
        <w:drawing>
          <wp:inline distT="0" distB="0" distL="0" distR="0" wp14:anchorId="77E22295" wp14:editId="701F618B">
            <wp:extent cx="3276600" cy="2095726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461" cy="210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2033A" w14:textId="45427002" w:rsidR="00BE380B" w:rsidRDefault="00BE380B" w:rsidP="00B074A2">
      <w:pPr>
        <w:spacing w:after="0"/>
      </w:pPr>
    </w:p>
    <w:p w14:paraId="0CF376AC" w14:textId="77777777" w:rsidR="00FB2DA2" w:rsidRDefault="00FB2DA2">
      <w:pPr>
        <w:rPr>
          <w:b/>
          <w:bCs/>
          <w:color w:val="0070C0"/>
        </w:rPr>
      </w:pPr>
      <w:r>
        <w:rPr>
          <w:b/>
          <w:bCs/>
          <w:color w:val="0070C0"/>
        </w:rPr>
        <w:br w:type="page"/>
      </w:r>
    </w:p>
    <w:p w14:paraId="7C13CC18" w14:textId="7EEE099B" w:rsidR="00DF5142" w:rsidRPr="00AE440B" w:rsidRDefault="00DF5142" w:rsidP="00B074A2">
      <w:pPr>
        <w:spacing w:after="0"/>
        <w:rPr>
          <w:b/>
          <w:bCs/>
          <w:color w:val="0070C0"/>
        </w:rPr>
      </w:pPr>
      <w:r w:rsidRPr="00AE440B">
        <w:rPr>
          <w:b/>
          <w:bCs/>
          <w:color w:val="0070C0"/>
        </w:rPr>
        <w:t xml:space="preserve">Demografický profil osob s diabetes </w:t>
      </w:r>
      <w:proofErr w:type="spellStart"/>
      <w:r w:rsidRPr="00AE440B">
        <w:rPr>
          <w:b/>
          <w:bCs/>
          <w:color w:val="0070C0"/>
        </w:rPr>
        <w:t>mellitus</w:t>
      </w:r>
      <w:proofErr w:type="spellEnd"/>
      <w:r w:rsidRPr="00AE440B">
        <w:rPr>
          <w:b/>
          <w:bCs/>
          <w:color w:val="0070C0"/>
        </w:rPr>
        <w:t xml:space="preserve"> (2017)</w:t>
      </w:r>
    </w:p>
    <w:p w14:paraId="2370192C" w14:textId="354A7983" w:rsidR="00DF5142" w:rsidRDefault="00490C2B" w:rsidP="00B074A2">
      <w:pPr>
        <w:spacing w:after="0"/>
      </w:pPr>
      <w:r>
        <w:t xml:space="preserve">(data </w:t>
      </w:r>
      <w:r w:rsidRPr="00490C2B">
        <w:t>NRHZS 2017;</w:t>
      </w:r>
      <w:r w:rsidR="00FB2DA2" w:rsidRPr="00FB2DA2">
        <w:t xml:space="preserve"> </w:t>
      </w:r>
      <w:r w:rsidR="00FB2DA2">
        <w:t>předběžná analýza</w:t>
      </w:r>
      <w:r w:rsidR="00FB2DA2">
        <w:t>,</w:t>
      </w:r>
      <w:r w:rsidRPr="00490C2B">
        <w:t xml:space="preserve"> pacienti se záznamem potvrzujícím DM v roce 2017 (N</w:t>
      </w:r>
      <w:r w:rsidR="00FB2DA2">
        <w:t> </w:t>
      </w:r>
      <w:r w:rsidRPr="00490C2B">
        <w:t>=</w:t>
      </w:r>
      <w:r w:rsidR="00FB2DA2">
        <w:t> </w:t>
      </w:r>
      <w:r w:rsidRPr="00490C2B">
        <w:t>995</w:t>
      </w:r>
      <w:r w:rsidR="00FB2DA2">
        <w:t> </w:t>
      </w:r>
      <w:r w:rsidRPr="00490C2B">
        <w:t>613)</w:t>
      </w:r>
      <w:r w:rsidR="00ED7C94">
        <w:t xml:space="preserve"> </w:t>
      </w:r>
    </w:p>
    <w:p w14:paraId="5AE3B8B3" w14:textId="3344DF07" w:rsidR="00490C2B" w:rsidRPr="00ED7C94" w:rsidRDefault="00490C2B" w:rsidP="00B074A2">
      <w:pPr>
        <w:spacing w:after="0"/>
        <w:rPr>
          <w:b/>
        </w:rPr>
      </w:pPr>
      <w:r w:rsidRPr="00ED7C94">
        <w:rPr>
          <w:b/>
        </w:rPr>
        <w:t>Pohlaví a věková struktura osob s DM v roce 2017</w:t>
      </w:r>
    </w:p>
    <w:p w14:paraId="742CE436" w14:textId="175C9F55" w:rsidR="00490C2B" w:rsidRDefault="00490C2B" w:rsidP="00B074A2">
      <w:pPr>
        <w:spacing w:after="0"/>
      </w:pPr>
      <w:r w:rsidRPr="00490C2B">
        <w:rPr>
          <w:noProof/>
        </w:rPr>
        <w:drawing>
          <wp:inline distT="0" distB="0" distL="0" distR="0" wp14:anchorId="57593BE5" wp14:editId="0011F221">
            <wp:extent cx="3686175" cy="1647825"/>
            <wp:effectExtent l="0" t="0" r="0" b="0"/>
            <wp:docPr id="259" name="Graf 2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B67211E" w14:textId="77777777" w:rsidR="00490C2B" w:rsidRDefault="00490C2B" w:rsidP="00B074A2">
      <w:pPr>
        <w:spacing w:after="0"/>
      </w:pPr>
      <w:r w:rsidRPr="00490C2B">
        <w:rPr>
          <w:noProof/>
        </w:rPr>
        <w:drawing>
          <wp:inline distT="0" distB="0" distL="0" distR="0" wp14:anchorId="26DBCDD3" wp14:editId="3646E161">
            <wp:extent cx="4105275" cy="2238375"/>
            <wp:effectExtent l="0" t="0" r="0" b="0"/>
            <wp:docPr id="258" name="Graf 25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490C2B">
        <w:rPr>
          <w:noProof/>
        </w:rPr>
        <w:drawing>
          <wp:inline distT="0" distB="0" distL="0" distR="0" wp14:anchorId="55056F81" wp14:editId="287AFE1E">
            <wp:extent cx="4010025" cy="2190750"/>
            <wp:effectExtent l="0" t="0" r="0" b="0"/>
            <wp:docPr id="257" name="Graf 25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78"/>
        <w:gridCol w:w="1878"/>
        <w:gridCol w:w="1879"/>
        <w:gridCol w:w="1879"/>
      </w:tblGrid>
      <w:tr w:rsidR="00490C2B" w14:paraId="26484509" w14:textId="77777777" w:rsidTr="00AE440B">
        <w:trPr>
          <w:trHeight w:val="279"/>
        </w:trPr>
        <w:tc>
          <w:tcPr>
            <w:tcW w:w="1878" w:type="dxa"/>
          </w:tcPr>
          <w:p w14:paraId="199060EF" w14:textId="3CA91786" w:rsidR="00490C2B" w:rsidRDefault="00490C2B" w:rsidP="00B074A2"/>
        </w:tc>
        <w:tc>
          <w:tcPr>
            <w:tcW w:w="1878" w:type="dxa"/>
            <w:vAlign w:val="center"/>
          </w:tcPr>
          <w:p w14:paraId="52E36E90" w14:textId="009C8408" w:rsidR="00490C2B" w:rsidRDefault="00AE440B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>N</w:t>
            </w:r>
            <w:r w:rsidR="00490C2B"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 xml:space="preserve"> (2017)</w:t>
            </w:r>
          </w:p>
        </w:tc>
        <w:tc>
          <w:tcPr>
            <w:tcW w:w="1879" w:type="dxa"/>
            <w:vAlign w:val="center"/>
          </w:tcPr>
          <w:p w14:paraId="7A157DEC" w14:textId="2A431A14" w:rsidR="00490C2B" w:rsidRDefault="00490C2B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>Průměr</w:t>
            </w:r>
            <w:r w:rsidR="00AE440B"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 xml:space="preserve"> (SD) </w:t>
            </w:r>
          </w:p>
        </w:tc>
        <w:tc>
          <w:tcPr>
            <w:tcW w:w="1879" w:type="dxa"/>
            <w:vAlign w:val="center"/>
          </w:tcPr>
          <w:p w14:paraId="258CD15B" w14:textId="5389CFB2" w:rsidR="00490C2B" w:rsidRDefault="00490C2B" w:rsidP="00B074A2"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 xml:space="preserve">Medián </w:t>
            </w:r>
            <w:r w:rsidR="00AE440B"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  <w:t xml:space="preserve">(IQR) </w:t>
            </w:r>
          </w:p>
        </w:tc>
      </w:tr>
      <w:tr w:rsidR="00490C2B" w14:paraId="10598BCE" w14:textId="77777777" w:rsidTr="00AE440B">
        <w:trPr>
          <w:trHeight w:val="264"/>
        </w:trPr>
        <w:tc>
          <w:tcPr>
            <w:tcW w:w="1878" w:type="dxa"/>
          </w:tcPr>
          <w:p w14:paraId="4F29A1D7" w14:textId="27AD1331" w:rsidR="00490C2B" w:rsidRPr="00AE440B" w:rsidRDefault="00AE440B" w:rsidP="00B074A2">
            <w:pPr>
              <w:rPr>
                <w:b/>
              </w:rPr>
            </w:pPr>
            <w:r w:rsidRPr="00AE440B">
              <w:rPr>
                <w:b/>
              </w:rPr>
              <w:t>ŽENY</w:t>
            </w:r>
          </w:p>
        </w:tc>
        <w:tc>
          <w:tcPr>
            <w:tcW w:w="1878" w:type="dxa"/>
            <w:vAlign w:val="center"/>
          </w:tcPr>
          <w:p w14:paraId="0B3290F9" w14:textId="0F37CA94" w:rsidR="00490C2B" w:rsidRPr="00AE440B" w:rsidRDefault="00AE440B" w:rsidP="00B074A2">
            <w:pPr>
              <w:rPr>
                <w:rFonts w:ascii="Calibri" w:hAnsi="Calibri" w:cs="Calibri"/>
                <w:bCs/>
                <w:color w:val="000000" w:themeColor="text1"/>
                <w:kern w:val="24"/>
              </w:rPr>
            </w:pPr>
            <w:r w:rsidRPr="00AE440B">
              <w:rPr>
                <w:rFonts w:ascii="Calibri" w:hAnsi="Calibri" w:cs="Calibri"/>
                <w:bCs/>
                <w:color w:val="000000" w:themeColor="text1"/>
                <w:kern w:val="24"/>
              </w:rPr>
              <w:t>505 372</w:t>
            </w:r>
          </w:p>
        </w:tc>
        <w:tc>
          <w:tcPr>
            <w:tcW w:w="1879" w:type="dxa"/>
            <w:vAlign w:val="center"/>
          </w:tcPr>
          <w:p w14:paraId="2DF04818" w14:textId="38FAEC69" w:rsidR="00490C2B" w:rsidRPr="00AE440B" w:rsidRDefault="00AE440B" w:rsidP="00B074A2">
            <w:pPr>
              <w:rPr>
                <w:rFonts w:ascii="Calibri" w:hAnsi="Calibri" w:cs="Calibri"/>
                <w:bCs/>
                <w:color w:val="000000" w:themeColor="text1"/>
                <w:kern w:val="24"/>
              </w:rPr>
            </w:pPr>
            <w:r w:rsidRPr="00AE440B">
              <w:rPr>
                <w:rFonts w:ascii="Calibri" w:hAnsi="Calibri" w:cs="Calibri"/>
                <w:bCs/>
                <w:color w:val="000000" w:themeColor="text1"/>
                <w:kern w:val="24"/>
              </w:rPr>
              <w:t>68 (15)</w:t>
            </w:r>
          </w:p>
        </w:tc>
        <w:tc>
          <w:tcPr>
            <w:tcW w:w="1879" w:type="dxa"/>
            <w:vAlign w:val="center"/>
          </w:tcPr>
          <w:p w14:paraId="760A9DED" w14:textId="261DDF89" w:rsidR="00490C2B" w:rsidRPr="00AE440B" w:rsidRDefault="00AE440B" w:rsidP="00B074A2">
            <w:pPr>
              <w:rPr>
                <w:rFonts w:ascii="Calibri" w:hAnsi="Calibri" w:cs="Calibri"/>
                <w:bCs/>
                <w:color w:val="000000" w:themeColor="text1"/>
                <w:kern w:val="24"/>
              </w:rPr>
            </w:pPr>
            <w:r w:rsidRPr="00AE440B">
              <w:rPr>
                <w:rFonts w:ascii="Calibri" w:hAnsi="Calibri" w:cs="Calibri"/>
                <w:bCs/>
                <w:color w:val="000000" w:themeColor="text1"/>
                <w:kern w:val="24"/>
              </w:rPr>
              <w:t>70 (61; 77)</w:t>
            </w:r>
          </w:p>
        </w:tc>
      </w:tr>
      <w:tr w:rsidR="00AE440B" w14:paraId="7A234E86" w14:textId="77777777" w:rsidTr="00AE440B">
        <w:trPr>
          <w:trHeight w:val="264"/>
        </w:trPr>
        <w:tc>
          <w:tcPr>
            <w:tcW w:w="1878" w:type="dxa"/>
          </w:tcPr>
          <w:p w14:paraId="13C80541" w14:textId="3DF8342A" w:rsidR="00AE440B" w:rsidRPr="00AE440B" w:rsidRDefault="00AE440B" w:rsidP="00B074A2">
            <w:pPr>
              <w:rPr>
                <w:b/>
              </w:rPr>
            </w:pPr>
            <w:r w:rsidRPr="00AE440B">
              <w:rPr>
                <w:b/>
              </w:rPr>
              <w:t>MUŽI</w:t>
            </w:r>
          </w:p>
        </w:tc>
        <w:tc>
          <w:tcPr>
            <w:tcW w:w="1878" w:type="dxa"/>
            <w:vAlign w:val="center"/>
          </w:tcPr>
          <w:p w14:paraId="7B7E424F" w14:textId="6A70BF39" w:rsidR="00AE440B" w:rsidRDefault="00AE440B" w:rsidP="00B074A2">
            <w:pP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/>
                <w:kern w:val="24"/>
              </w:rPr>
              <w:t>490 241</w:t>
            </w:r>
          </w:p>
        </w:tc>
        <w:tc>
          <w:tcPr>
            <w:tcW w:w="1879" w:type="dxa"/>
            <w:vAlign w:val="center"/>
          </w:tcPr>
          <w:p w14:paraId="35C2DDA4" w14:textId="0264D291" w:rsidR="00AE440B" w:rsidRDefault="00AE440B" w:rsidP="00B074A2">
            <w:pP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/>
                <w:kern w:val="24"/>
              </w:rPr>
              <w:t>65 (13)</w:t>
            </w:r>
          </w:p>
        </w:tc>
        <w:tc>
          <w:tcPr>
            <w:tcW w:w="1879" w:type="dxa"/>
            <w:vAlign w:val="center"/>
          </w:tcPr>
          <w:p w14:paraId="0FBDA9AF" w14:textId="70EEA485" w:rsidR="00AE440B" w:rsidRDefault="00AE440B" w:rsidP="00B074A2">
            <w:pPr>
              <w:rPr>
                <w:rFonts w:ascii="Calibri" w:hAnsi="Calibri" w:cs="Calibri"/>
                <w:b/>
                <w:bCs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/>
                <w:kern w:val="24"/>
              </w:rPr>
              <w:t>67 (58; 73)</w:t>
            </w:r>
          </w:p>
        </w:tc>
      </w:tr>
    </w:tbl>
    <w:p w14:paraId="0FE2C52F" w14:textId="77777777" w:rsidR="00DF5142" w:rsidRDefault="00DF5142" w:rsidP="00B074A2">
      <w:pPr>
        <w:spacing w:after="0"/>
      </w:pPr>
    </w:p>
    <w:p w14:paraId="6948766D" w14:textId="77777777" w:rsidR="00AE440B" w:rsidRPr="00AE440B" w:rsidRDefault="00AE440B" w:rsidP="00B074A2">
      <w:pPr>
        <w:spacing w:after="0"/>
      </w:pPr>
      <w:r w:rsidRPr="00AE440B">
        <w:t>49 % diabetiků tvoří muži, 51 % ženy. Nejvíce diabetiků je ve věku 60–79 let. Průměrný věk mužů je o tři roky nižší než průměrný věk žen (65 vs. 68 let).</w:t>
      </w:r>
    </w:p>
    <w:p w14:paraId="5613A9F4" w14:textId="77777777" w:rsidR="00AD339F" w:rsidRDefault="00AD339F" w:rsidP="00B074A2">
      <w:pPr>
        <w:rPr>
          <w:b/>
          <w:color w:val="0070C0"/>
        </w:rPr>
      </w:pPr>
      <w:r>
        <w:rPr>
          <w:b/>
          <w:color w:val="0070C0"/>
        </w:rPr>
        <w:br w:type="page"/>
      </w:r>
    </w:p>
    <w:p w14:paraId="3D2B1AFA" w14:textId="5841241F" w:rsidR="00DF5142" w:rsidRPr="00AE440B" w:rsidRDefault="00AE440B" w:rsidP="00B074A2">
      <w:pPr>
        <w:spacing w:after="0"/>
        <w:rPr>
          <w:b/>
          <w:color w:val="0070C0"/>
        </w:rPr>
      </w:pPr>
      <w:r w:rsidRPr="00AE440B">
        <w:rPr>
          <w:b/>
          <w:color w:val="0070C0"/>
        </w:rPr>
        <w:lastRenderedPageBreak/>
        <w:t>Očekávaná doba dožití pacientů s DM ve srovnání s populací ČR (2017)</w:t>
      </w:r>
    </w:p>
    <w:p w14:paraId="0E050625" w14:textId="77777777" w:rsidR="00FB2DA2" w:rsidRDefault="00AE440B" w:rsidP="00B074A2">
      <w:pPr>
        <w:spacing w:after="0"/>
      </w:pPr>
      <w:r>
        <w:t>(</w:t>
      </w:r>
      <w:r w:rsidRPr="00AE440B">
        <w:t>Zdroj dat: NRHZS 2017</w:t>
      </w:r>
      <w:r w:rsidR="00FA544F">
        <w:t xml:space="preserve">; </w:t>
      </w:r>
      <w:r w:rsidR="00FA544F">
        <w:t>předběžná analýza</w:t>
      </w:r>
      <w:r w:rsidR="00FA544F">
        <w:t>,</w:t>
      </w:r>
    </w:p>
    <w:p w14:paraId="60351E16" w14:textId="73D6AF03" w:rsidR="00AE440B" w:rsidRDefault="00AE440B" w:rsidP="00B074A2">
      <w:pPr>
        <w:spacing w:after="0"/>
      </w:pPr>
      <w:r w:rsidRPr="00AE440B">
        <w:t>demografická data ČSU 2017</w:t>
      </w:r>
      <w:r>
        <w:t>)</w:t>
      </w:r>
    </w:p>
    <w:p w14:paraId="18624D90" w14:textId="0E464031" w:rsidR="00AE440B" w:rsidRDefault="00AE440B" w:rsidP="00B074A2">
      <w:pPr>
        <w:spacing w:after="0"/>
      </w:pPr>
    </w:p>
    <w:p w14:paraId="38195817" w14:textId="06E059B3" w:rsidR="00AE440B" w:rsidRDefault="00AD339F" w:rsidP="00B074A2">
      <w:pPr>
        <w:spacing w:after="0"/>
      </w:pPr>
      <w:r w:rsidRPr="00AE440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143AE4" wp14:editId="75898968">
                <wp:simplePos x="0" y="0"/>
                <wp:positionH relativeFrom="margin">
                  <wp:posOffset>1832610</wp:posOffset>
                </wp:positionH>
                <wp:positionV relativeFrom="paragraph">
                  <wp:posOffset>3758565</wp:posOffset>
                </wp:positionV>
                <wp:extent cx="2571750" cy="266700"/>
                <wp:effectExtent l="0" t="0" r="0" b="0"/>
                <wp:wrapNone/>
                <wp:docPr id="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EBB51B" w14:textId="77777777" w:rsidR="00AE440B" w:rsidRPr="00AE440B" w:rsidRDefault="00AE440B" w:rsidP="00AE440B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  <w:rPr>
                                <w:sz w:val="18"/>
                              </w:rPr>
                            </w:pPr>
                            <w:r w:rsidRPr="00AE440B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18"/>
                              </w:rPr>
                              <w:t>Věk v roce 2017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143AE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144.3pt;margin-top:295.95pt;width:202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" filled="f" stroked="f">
                <v:textbox>
                  <w:txbxContent>
                    <w:p w14:paraId="04EBB51B" w14:textId="77777777" w:rsidR="00AE440B" w:rsidRPr="00AE440B" w:rsidRDefault="00AE440B" w:rsidP="00AE440B">
                      <w:pPr>
                        <w:pStyle w:val="Normlnweb"/>
                        <w:spacing w:before="0" w:beforeAutospacing="0" w:after="0" w:afterAutospacing="0"/>
                        <w:jc w:val="center"/>
                        <w:rPr>
                          <w:sz w:val="18"/>
                        </w:rPr>
                      </w:pPr>
                      <w:r w:rsidRPr="00AE440B">
                        <w:rPr>
                          <w:rFonts w:asciiTheme="minorHAnsi" w:hAnsi="Calibri" w:cs="Arial"/>
                          <w:color w:val="000000"/>
                          <w:kern w:val="24"/>
                          <w:sz w:val="18"/>
                        </w:rPr>
                        <w:t>Věk v roce 2017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440B" w:rsidRPr="00AE440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173430" wp14:editId="12347ED5">
                <wp:simplePos x="0" y="0"/>
                <wp:positionH relativeFrom="column">
                  <wp:posOffset>-1710532</wp:posOffset>
                </wp:positionH>
                <wp:positionV relativeFrom="paragraph">
                  <wp:posOffset>1378427</wp:posOffset>
                </wp:positionV>
                <wp:extent cx="3113725" cy="276999"/>
                <wp:effectExtent l="0" t="0" r="0" b="0"/>
                <wp:wrapNone/>
                <wp:docPr id="8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113725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C2325F" w14:textId="77777777" w:rsidR="00AE440B" w:rsidRPr="00AE440B" w:rsidRDefault="00AE440B" w:rsidP="00AE440B">
                            <w:pPr>
                              <w:pStyle w:val="Normlnweb"/>
                              <w:spacing w:before="0" w:beforeAutospacing="0" w:after="0" w:afterAutospacing="0"/>
                              <w:rPr>
                                <w:sz w:val="18"/>
                              </w:rPr>
                            </w:pPr>
                            <w:r w:rsidRPr="00AE440B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18"/>
                              </w:rPr>
                              <w:t xml:space="preserve">Očekávaná doba dožití pro osobu daného </w:t>
                            </w:r>
                            <w:proofErr w:type="spellStart"/>
                            <w:r w:rsidRPr="00AE440B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18"/>
                              </w:rPr>
                              <w:t>vě</w:t>
                            </w:r>
                            <w:proofErr w:type="spellEnd"/>
                            <w:r w:rsidRPr="00AE440B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18"/>
                                <w:lang w:val="en-US"/>
                              </w:rPr>
                              <w:t>k</w:t>
                            </w:r>
                            <w:r w:rsidRPr="00AE440B">
                              <w:rPr>
                                <w:rFonts w:asciiTheme="minorHAnsi" w:hAnsi="Calibri" w:cs="Arial"/>
                                <w:color w:val="000000"/>
                                <w:kern w:val="24"/>
                                <w:sz w:val="18"/>
                              </w:rPr>
                              <w:t>u v roce 2017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173430" id="_x0000_s1027" type="#_x0000_t202" style="position:absolute;margin-left:-134.7pt;margin-top:108.55pt;width:245.2pt;height:21.8pt;rotation:-90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" filled="f" stroked="f">
                <v:textbox style="mso-fit-shape-to-text:t">
                  <w:txbxContent>
                    <w:p w14:paraId="4AC2325F" w14:textId="77777777" w:rsidR="00AE440B" w:rsidRPr="00AE440B" w:rsidRDefault="00AE440B" w:rsidP="00AE440B">
                      <w:pPr>
                        <w:pStyle w:val="Normlnweb"/>
                        <w:spacing w:before="0" w:beforeAutospacing="0" w:after="0" w:afterAutospacing="0"/>
                        <w:rPr>
                          <w:sz w:val="18"/>
                        </w:rPr>
                      </w:pPr>
                      <w:r w:rsidRPr="00AE440B">
                        <w:rPr>
                          <w:rFonts w:asciiTheme="minorHAnsi" w:hAnsi="Calibri" w:cs="Arial"/>
                          <w:color w:val="000000"/>
                          <w:kern w:val="24"/>
                          <w:sz w:val="18"/>
                        </w:rPr>
                        <w:t xml:space="preserve">Očekávaná doba dožití pro osobu daného </w:t>
                      </w:r>
                      <w:proofErr w:type="spellStart"/>
                      <w:r w:rsidRPr="00AE440B">
                        <w:rPr>
                          <w:rFonts w:asciiTheme="minorHAnsi" w:hAnsi="Calibri" w:cs="Arial"/>
                          <w:color w:val="000000"/>
                          <w:kern w:val="24"/>
                          <w:sz w:val="18"/>
                        </w:rPr>
                        <w:t>vě</w:t>
                      </w:r>
                      <w:proofErr w:type="spellEnd"/>
                      <w:r w:rsidRPr="00AE440B">
                        <w:rPr>
                          <w:rFonts w:asciiTheme="minorHAnsi" w:hAnsi="Calibri" w:cs="Arial"/>
                          <w:color w:val="000000"/>
                          <w:kern w:val="24"/>
                          <w:sz w:val="18"/>
                          <w:lang w:val="en-US"/>
                        </w:rPr>
                        <w:t>k</w:t>
                      </w:r>
                      <w:r w:rsidRPr="00AE440B">
                        <w:rPr>
                          <w:rFonts w:asciiTheme="minorHAnsi" w:hAnsi="Calibri" w:cs="Arial"/>
                          <w:color w:val="000000"/>
                          <w:kern w:val="24"/>
                          <w:sz w:val="18"/>
                        </w:rPr>
                        <w:t>u v roce 2017</w:t>
                      </w:r>
                    </w:p>
                  </w:txbxContent>
                </v:textbox>
              </v:shape>
            </w:pict>
          </mc:Fallback>
        </mc:AlternateContent>
      </w:r>
      <w:r w:rsidR="00AE440B" w:rsidRPr="00AE440B">
        <w:rPr>
          <w:noProof/>
        </w:rPr>
        <w:drawing>
          <wp:inline distT="0" distB="0" distL="0" distR="0" wp14:anchorId="6836C514" wp14:editId="67DDE1A5">
            <wp:extent cx="6219825" cy="3829050"/>
            <wp:effectExtent l="0" t="0" r="0" b="0"/>
            <wp:docPr id="260" name="Graf 26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B274803" w14:textId="1EB839EE" w:rsidR="00AE440B" w:rsidRDefault="00AE440B" w:rsidP="00B074A2">
      <w:pPr>
        <w:spacing w:after="0"/>
      </w:pPr>
    </w:p>
    <w:p w14:paraId="1C932B97" w14:textId="2D91C66D" w:rsidR="00AE440B" w:rsidRDefault="00AE440B" w:rsidP="00B074A2">
      <w:pPr>
        <w:spacing w:after="0"/>
        <w:jc w:val="both"/>
      </w:pPr>
    </w:p>
    <w:p w14:paraId="01EEFD03" w14:textId="18D0CECD" w:rsidR="00AE440B" w:rsidRPr="00AE440B" w:rsidRDefault="00AE440B" w:rsidP="00B074A2">
      <w:pPr>
        <w:spacing w:after="0"/>
        <w:jc w:val="both"/>
      </w:pPr>
      <w:r w:rsidRPr="00AE440B">
        <w:t xml:space="preserve">Očekávaná doba dožití u pacientů s </w:t>
      </w:r>
      <w:r w:rsidRPr="00AE440B">
        <w:rPr>
          <w:lang w:val="en-US"/>
        </w:rPr>
        <w:t>DM</w:t>
      </w:r>
      <w:r w:rsidRPr="00AE440B">
        <w:t xml:space="preserve"> je nižší než u celkové populace ČR, přičemž rozdíl se snižuje s</w:t>
      </w:r>
      <w:r w:rsidR="00B074A2">
        <w:t> </w:t>
      </w:r>
      <w:r w:rsidRPr="00AE440B">
        <w:t>věkem diabetika. U pacientů s DM již od raného věku je očekávaná doba dožití cca o 8 let nižší než v</w:t>
      </w:r>
      <w:r w:rsidR="00B074A2">
        <w:t> </w:t>
      </w:r>
      <w:r w:rsidRPr="00AE440B">
        <w:t xml:space="preserve">obecné populaci. Doba dožití </w:t>
      </w:r>
      <w:r w:rsidRPr="00AE440B">
        <w:rPr>
          <w:lang w:val="en-US"/>
        </w:rPr>
        <w:t>5</w:t>
      </w:r>
      <w:r w:rsidRPr="00AE440B">
        <w:t xml:space="preserve">0letého pacienta s </w:t>
      </w:r>
      <w:r w:rsidRPr="00AE440B">
        <w:rPr>
          <w:lang w:val="en-US"/>
        </w:rPr>
        <w:t>DM</w:t>
      </w:r>
      <w:r w:rsidRPr="00AE440B">
        <w:t xml:space="preserve"> je o 3 roky kratší (</w:t>
      </w:r>
      <w:r w:rsidRPr="00AE440B">
        <w:rPr>
          <w:lang w:val="en-US"/>
        </w:rPr>
        <w:t>28</w:t>
      </w:r>
      <w:r w:rsidRPr="00AE440B">
        <w:t xml:space="preserve"> vs. </w:t>
      </w:r>
      <w:r w:rsidRPr="00AE440B">
        <w:rPr>
          <w:lang w:val="en-US"/>
        </w:rPr>
        <w:t>31</w:t>
      </w:r>
      <w:r w:rsidRPr="00AE440B">
        <w:t xml:space="preserve"> let), doba dožití </w:t>
      </w:r>
      <w:r w:rsidRPr="00AE440B">
        <w:rPr>
          <w:lang w:val="en-US"/>
        </w:rPr>
        <w:t>6</w:t>
      </w:r>
      <w:r w:rsidRPr="00AE440B">
        <w:t>0letého diabetika je kratší o 1 rok (2</w:t>
      </w:r>
      <w:r w:rsidRPr="00AE440B">
        <w:rPr>
          <w:lang w:val="en-US"/>
        </w:rPr>
        <w:t>1</w:t>
      </w:r>
      <w:r w:rsidRPr="00AE440B">
        <w:t xml:space="preserve"> vs. </w:t>
      </w:r>
      <w:r w:rsidRPr="00AE440B">
        <w:rPr>
          <w:lang w:val="en-US"/>
        </w:rPr>
        <w:t>22</w:t>
      </w:r>
      <w:r w:rsidRPr="00AE440B">
        <w:t xml:space="preserve"> let).  </w:t>
      </w:r>
    </w:p>
    <w:p w14:paraId="4C818CCA" w14:textId="77777777" w:rsidR="00DF5142" w:rsidRDefault="00DF5142" w:rsidP="00B074A2">
      <w:pPr>
        <w:spacing w:after="0"/>
      </w:pPr>
    </w:p>
    <w:p w14:paraId="0BB71C83" w14:textId="77777777" w:rsidR="00DF5142" w:rsidRDefault="00DF5142" w:rsidP="00B074A2">
      <w:pPr>
        <w:spacing w:after="0"/>
      </w:pPr>
    </w:p>
    <w:p w14:paraId="1444BFA5" w14:textId="77777777" w:rsidR="004622B9" w:rsidRDefault="004622B9" w:rsidP="00B074A2">
      <w:pPr>
        <w:spacing w:after="0"/>
      </w:pPr>
    </w:p>
    <w:p w14:paraId="5F8FE7C9" w14:textId="77777777" w:rsidR="00B074A2" w:rsidRDefault="00B074A2">
      <w:pPr>
        <w:spacing w:after="0"/>
      </w:pPr>
    </w:p>
    <w:sectPr w:rsidR="00B074A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745393" w14:textId="77777777" w:rsidR="00AD339F" w:rsidRDefault="00AD339F" w:rsidP="00AD339F">
      <w:pPr>
        <w:spacing w:after="0" w:line="240" w:lineRule="auto"/>
      </w:pPr>
      <w:r>
        <w:separator/>
      </w:r>
    </w:p>
  </w:endnote>
  <w:endnote w:type="continuationSeparator" w:id="0">
    <w:p w14:paraId="7FA5EED6" w14:textId="77777777" w:rsidR="00AD339F" w:rsidRDefault="00AD339F" w:rsidP="00AD33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4D158" w14:textId="0DB962A8" w:rsidR="00AD339F" w:rsidRPr="00AD339F" w:rsidRDefault="00AD339F" w:rsidP="00AD339F">
    <w:pPr>
      <w:spacing w:after="0"/>
      <w:rPr>
        <w:i/>
        <w:color w:val="BFBFBF" w:themeColor="background1" w:themeShade="BF"/>
      </w:rPr>
    </w:pPr>
    <w:r w:rsidRPr="00AD339F">
      <w:rPr>
        <w:color w:val="BFBFBF" w:themeColor="background1" w:themeShade="BF"/>
      </w:rPr>
      <w:t>NRHZS 2015–2017 (</w:t>
    </w:r>
    <w:r w:rsidRPr="00AD339F">
      <w:rPr>
        <w:i/>
        <w:color w:val="BFBFBF" w:themeColor="background1" w:themeShade="BF"/>
      </w:rPr>
      <w:t>Národní registr hrazených zdravotních služeb)</w:t>
    </w:r>
  </w:p>
  <w:p w14:paraId="02C243DD" w14:textId="77777777" w:rsidR="00AD339F" w:rsidRDefault="00AD339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37FA9A" w14:textId="77777777" w:rsidR="00AD339F" w:rsidRDefault="00AD339F" w:rsidP="00AD339F">
      <w:pPr>
        <w:spacing w:after="0" w:line="240" w:lineRule="auto"/>
      </w:pPr>
      <w:r>
        <w:separator/>
      </w:r>
    </w:p>
  </w:footnote>
  <w:footnote w:type="continuationSeparator" w:id="0">
    <w:p w14:paraId="64095ECD" w14:textId="77777777" w:rsidR="00AD339F" w:rsidRDefault="00AD339F" w:rsidP="00AD33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7F6FC" w14:textId="70F85595" w:rsidR="00AD339F" w:rsidRPr="00AD339F" w:rsidRDefault="00AD339F">
    <w:pPr>
      <w:pStyle w:val="Zhlav"/>
      <w:rPr>
        <w:b/>
      </w:rPr>
    </w:pPr>
    <w:r w:rsidRPr="00AD339F">
      <w:rPr>
        <w:b/>
        <w:noProof/>
      </w:rPr>
      <w:drawing>
        <wp:anchor distT="0" distB="0" distL="114300" distR="114300" simplePos="0" relativeHeight="251658240" behindDoc="1" locked="0" layoutInCell="1" allowOverlap="1" wp14:anchorId="504D75E7" wp14:editId="1BC4DAF2">
          <wp:simplePos x="0" y="0"/>
          <wp:positionH relativeFrom="margin">
            <wp:align>right</wp:align>
          </wp:positionH>
          <wp:positionV relativeFrom="paragraph">
            <wp:posOffset>-97155</wp:posOffset>
          </wp:positionV>
          <wp:extent cx="1343025" cy="671513"/>
          <wp:effectExtent l="0" t="0" r="0" b="0"/>
          <wp:wrapTight wrapText="bothSides">
            <wp:wrapPolygon edited="0">
              <wp:start x="0" y="0"/>
              <wp:lineTo x="0" y="20844"/>
              <wp:lineTo x="21140" y="20844"/>
              <wp:lineTo x="21140" y="0"/>
              <wp:lineTo x="0" y="0"/>
            </wp:wrapPolygon>
          </wp:wrapTight>
          <wp:docPr id="261" name="Obrázek 261" descr="DiabetickÃ¡ Asociace ÄeskÃ© Republik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iabetickÃ¡ Asociace ÄeskÃ© Republiky Lo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1481" b="-2189"/>
                  <a:stretch/>
                </pic:blipFill>
                <pic:spPr bwMode="auto">
                  <a:xfrm>
                    <a:off x="0" y="0"/>
                    <a:ext cx="1343025" cy="67151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339F">
      <w:rPr>
        <w:b/>
      </w:rPr>
      <w:t>TISKOVÝ MATERIÁL</w:t>
    </w:r>
  </w:p>
  <w:p w14:paraId="52262BD1" w14:textId="15C5BEBC" w:rsidR="00AD339F" w:rsidRDefault="00AD339F">
    <w:pPr>
      <w:pStyle w:val="Zhlav"/>
    </w:pPr>
    <w:r>
      <w:t>TK DAČR 31. ledna 2019</w:t>
    </w:r>
  </w:p>
  <w:p w14:paraId="5E32FA27" w14:textId="6A104509" w:rsidR="00AD339F" w:rsidRDefault="00AD339F">
    <w:pPr>
      <w:pStyle w:val="Zhlav"/>
    </w:pPr>
  </w:p>
  <w:p w14:paraId="0D356348" w14:textId="77777777" w:rsidR="00AD339F" w:rsidRDefault="00AD339F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32"/>
    <w:rsid w:val="004175FF"/>
    <w:rsid w:val="004622B9"/>
    <w:rsid w:val="00490C2B"/>
    <w:rsid w:val="006C5870"/>
    <w:rsid w:val="008A72AF"/>
    <w:rsid w:val="008B3432"/>
    <w:rsid w:val="00920E84"/>
    <w:rsid w:val="009242AD"/>
    <w:rsid w:val="00AD339F"/>
    <w:rsid w:val="00AE440B"/>
    <w:rsid w:val="00B074A2"/>
    <w:rsid w:val="00BE380B"/>
    <w:rsid w:val="00DF5142"/>
    <w:rsid w:val="00ED7C94"/>
    <w:rsid w:val="00FA544F"/>
    <w:rsid w:val="00FB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458D3FC"/>
  <w15:chartTrackingRefBased/>
  <w15:docId w15:val="{9F50F0DB-3F10-4D6F-BBCB-D43472E61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C5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4175F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17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lnweb">
    <w:name w:val="Normal (Web)"/>
    <w:basedOn w:val="Normln"/>
    <w:uiPriority w:val="99"/>
    <w:semiHidden/>
    <w:unhideWhenUsed/>
    <w:rsid w:val="00BE38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920E8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AD33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D339F"/>
  </w:style>
  <w:style w:type="paragraph" w:styleId="Zpat">
    <w:name w:val="footer"/>
    <w:basedOn w:val="Normln"/>
    <w:link w:val="ZpatChar"/>
    <w:uiPriority w:val="99"/>
    <w:unhideWhenUsed/>
    <w:rsid w:val="00AD33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D33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90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chart" Target="charts/chart4.xml"/><Relationship Id="rId4" Type="http://schemas.openxmlformats.org/officeDocument/2006/relationships/footnotes" Target="footnote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889335705527764"/>
          <c:y val="0.10216858409583313"/>
          <c:w val="0.44195422975522886"/>
          <c:h val="0.6215549199987147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Podíl</c:v>
                </c:pt>
              </c:strCache>
            </c:strRef>
          </c:tx>
          <c:spPr>
            <a:solidFill>
              <a:srgbClr val="FF7C80"/>
            </a:solidFill>
          </c:spPr>
          <c:dPt>
            <c:idx val="0"/>
            <c:bubble3D val="0"/>
            <c:spPr>
              <a:solidFill>
                <a:srgbClr val="5F82C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045-4573-99BB-A723E70760D8}"/>
              </c:ext>
            </c:extLst>
          </c:dPt>
          <c:dPt>
            <c:idx val="1"/>
            <c:bubble3D val="0"/>
            <c:spPr>
              <a:solidFill>
                <a:srgbClr val="FF7C8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045-4573-99BB-A723E70760D8}"/>
              </c:ext>
            </c:extLst>
          </c:dPt>
          <c:dLbls>
            <c:dLbl>
              <c:idx val="0"/>
              <c:layout>
                <c:manualLayout>
                  <c:x val="0"/>
                  <c:y val="-6.1815263624455274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045-4573-99BB-A723E70760D8}"/>
                </c:ext>
              </c:extLst>
            </c:dLbl>
            <c:dLbl>
              <c:idx val="1"/>
              <c:layout>
                <c:manualLayout>
                  <c:x val="-1.3403619663321127E-2"/>
                  <c:y val="9.2722895436682995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045-4573-99BB-A723E70760D8}"/>
                </c:ext>
              </c:extLst>
            </c:dLbl>
            <c:numFmt formatCode="0.0\ 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97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Sheet1!$A$2:$A$3</c:f>
              <c:strCache>
                <c:ptCount val="2"/>
                <c:pt idx="0">
                  <c:v>Muži (490 241)</c:v>
                </c:pt>
                <c:pt idx="1">
                  <c:v>Ženy (505 372)</c:v>
                </c:pt>
              </c:strCache>
            </c:strRef>
          </c:cat>
          <c:val>
            <c:numRef>
              <c:f>Sheet1!$B$2:$B$3</c:f>
              <c:numCache>
                <c:formatCode>0.0\ %</c:formatCode>
                <c:ptCount val="2"/>
                <c:pt idx="0">
                  <c:v>0.49240116390605587</c:v>
                </c:pt>
                <c:pt idx="1">
                  <c:v>0.50759883609394418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045-4573-99BB-A723E70760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180"/>
      </c:pieChart>
      <c:spPr>
        <a:noFill/>
        <a:ln>
          <a:noFill/>
        </a:ln>
        <a:effectLst/>
      </c:spPr>
    </c:plotArea>
    <c:legend>
      <c:legendPos val="r"/>
      <c:overlay val="0"/>
      <c:txPr>
        <a:bodyPr/>
        <a:lstStyle/>
        <a:p>
          <a:pPr>
            <a:defRPr sz="1100"/>
          </a:pPr>
          <a:endParaRPr lang="cs-CZ"/>
        </a:p>
      </c:txPr>
    </c:legend>
    <c:plotVisOnly val="1"/>
    <c:dispBlanksAs val="zero"/>
    <c:showDLblsOverMax val="0"/>
  </c:chart>
  <c:spPr>
    <a:noFill/>
    <a:ln>
      <a:noFill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cs-CZ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FF7C80"/>
            </a:solidFill>
            <a:ln>
              <a:noFill/>
            </a:ln>
            <a:effectLst/>
          </c:spPr>
          <c:invertIfNegative val="0"/>
          <c:cat>
            <c:strRef>
              <c:f>Sheet1!$A$2:$A$21</c:f>
              <c:strCache>
                <c:ptCount val="20"/>
                <c:pt idx="0">
                  <c:v>0–4</c:v>
                </c:pt>
                <c:pt idx="1">
                  <c:v>5–9</c:v>
                </c:pt>
                <c:pt idx="2">
                  <c:v>10–14</c:v>
                </c:pt>
                <c:pt idx="3">
                  <c:v>15–19</c:v>
                </c:pt>
                <c:pt idx="4">
                  <c:v>20–24</c:v>
                </c:pt>
                <c:pt idx="5">
                  <c:v>25–29</c:v>
                </c:pt>
                <c:pt idx="6">
                  <c:v>30–34</c:v>
                </c:pt>
                <c:pt idx="7">
                  <c:v>35–39</c:v>
                </c:pt>
                <c:pt idx="8">
                  <c:v>40–44</c:v>
                </c:pt>
                <c:pt idx="9">
                  <c:v>45–49</c:v>
                </c:pt>
                <c:pt idx="10">
                  <c:v>50–54</c:v>
                </c:pt>
                <c:pt idx="11">
                  <c:v>55–59</c:v>
                </c:pt>
                <c:pt idx="12">
                  <c:v>60–64</c:v>
                </c:pt>
                <c:pt idx="13">
                  <c:v>65–69</c:v>
                </c:pt>
                <c:pt idx="14">
                  <c:v>70–74</c:v>
                </c:pt>
                <c:pt idx="15">
                  <c:v>75–79</c:v>
                </c:pt>
                <c:pt idx="16">
                  <c:v>80–84</c:v>
                </c:pt>
                <c:pt idx="17">
                  <c:v>85–89</c:v>
                </c:pt>
                <c:pt idx="18">
                  <c:v>90–94</c:v>
                </c:pt>
                <c:pt idx="19">
                  <c:v>95+</c:v>
                </c:pt>
              </c:strCache>
            </c:strRef>
          </c:cat>
          <c:val>
            <c:numRef>
              <c:f>Sheet1!$B$2:$B$21</c:f>
              <c:numCache>
                <c:formatCode>0.0\ %</c:formatCode>
                <c:ptCount val="20"/>
                <c:pt idx="0">
                  <c:v>9.0032688791622916E-4</c:v>
                </c:pt>
                <c:pt idx="1">
                  <c:v>1.2980537109297718E-3</c:v>
                </c:pt>
                <c:pt idx="2">
                  <c:v>1.8204411799624845E-3</c:v>
                </c:pt>
                <c:pt idx="3">
                  <c:v>2.5723625369035085E-3</c:v>
                </c:pt>
                <c:pt idx="4">
                  <c:v>5.7581346018378537E-3</c:v>
                </c:pt>
                <c:pt idx="5">
                  <c:v>1.1514290463262709E-2</c:v>
                </c:pt>
                <c:pt idx="6">
                  <c:v>1.6488843861551489E-2</c:v>
                </c:pt>
                <c:pt idx="7">
                  <c:v>1.8089644855670675E-2</c:v>
                </c:pt>
                <c:pt idx="8">
                  <c:v>2.1936316218547944E-2</c:v>
                </c:pt>
                <c:pt idx="9">
                  <c:v>2.6501270351345172E-2</c:v>
                </c:pt>
                <c:pt idx="10">
                  <c:v>4.2550833841210098E-2</c:v>
                </c:pt>
                <c:pt idx="11">
                  <c:v>6.1995915879787561E-2</c:v>
                </c:pt>
                <c:pt idx="12">
                  <c:v>0.11115772144083967</c:v>
                </c:pt>
                <c:pt idx="13">
                  <c:v>0.16205686108450792</c:v>
                </c:pt>
                <c:pt idx="14">
                  <c:v>0.18403275211131617</c:v>
                </c:pt>
                <c:pt idx="15">
                  <c:v>0.13950911407834229</c:v>
                </c:pt>
                <c:pt idx="16">
                  <c:v>9.9336726213561488E-2</c:v>
                </c:pt>
                <c:pt idx="17">
                  <c:v>6.5088687145310839E-2</c:v>
                </c:pt>
                <c:pt idx="18">
                  <c:v>2.3129496687588531E-2</c:v>
                </c:pt>
                <c:pt idx="19">
                  <c:v>4.2622068496078105E-3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9F-4199-B998-2FCA3436B4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"/>
        <c:axId val="82619008"/>
        <c:axId val="82703104"/>
      </c:barChart>
      <c:catAx>
        <c:axId val="826190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s-CZ"/>
                  <a:t>Věk</a:t>
                </a:r>
              </a:p>
            </c:rich>
          </c:tx>
          <c:layout>
            <c:manualLayout>
              <c:xMode val="edge"/>
              <c:yMode val="edge"/>
              <c:x val="0.10922584959052759"/>
              <c:y val="0.7641560708841930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82703104"/>
        <c:crosses val="autoZero"/>
        <c:auto val="1"/>
        <c:lblAlgn val="ctr"/>
        <c:lblOffset val="100"/>
        <c:tickLblSkip val="1"/>
        <c:noMultiLvlLbl val="0"/>
      </c:catAx>
      <c:valAx>
        <c:axId val="82703104"/>
        <c:scaling>
          <c:orientation val="minMax"/>
          <c:max val="0.30000000000000027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s-CZ" dirty="0"/>
                  <a:t>Podíl žen</a:t>
                </a:r>
              </a:p>
            </c:rich>
          </c:tx>
          <c:layout>
            <c:manualLayout>
              <c:xMode val="edge"/>
              <c:yMode val="edge"/>
              <c:x val="1.5766608508158537E-2"/>
              <c:y val="0.2238143410257522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\ %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826190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1200">
          <a:solidFill>
            <a:schemeClr val="tx1"/>
          </a:solidFill>
        </a:defRPr>
      </a:pPr>
      <a:endParaRPr lang="cs-CZ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5F82C9"/>
            </a:solidFill>
            <a:ln>
              <a:noFill/>
            </a:ln>
            <a:effectLst/>
          </c:spPr>
          <c:invertIfNegative val="0"/>
          <c:cat>
            <c:strRef>
              <c:f>Sheet1!$A$2:$A$21</c:f>
              <c:strCache>
                <c:ptCount val="20"/>
                <c:pt idx="0">
                  <c:v>0–4</c:v>
                </c:pt>
                <c:pt idx="1">
                  <c:v>5–9</c:v>
                </c:pt>
                <c:pt idx="2">
                  <c:v>10–14</c:v>
                </c:pt>
                <c:pt idx="3">
                  <c:v>15–19</c:v>
                </c:pt>
                <c:pt idx="4">
                  <c:v>20–24</c:v>
                </c:pt>
                <c:pt idx="5">
                  <c:v>25–29</c:v>
                </c:pt>
                <c:pt idx="6">
                  <c:v>30–34</c:v>
                </c:pt>
                <c:pt idx="7">
                  <c:v>35–39</c:v>
                </c:pt>
                <c:pt idx="8">
                  <c:v>40–44</c:v>
                </c:pt>
                <c:pt idx="9">
                  <c:v>45–49</c:v>
                </c:pt>
                <c:pt idx="10">
                  <c:v>50–54</c:v>
                </c:pt>
                <c:pt idx="11">
                  <c:v>55–59</c:v>
                </c:pt>
                <c:pt idx="12">
                  <c:v>60–64</c:v>
                </c:pt>
                <c:pt idx="13">
                  <c:v>65–69</c:v>
                </c:pt>
                <c:pt idx="14">
                  <c:v>70–74</c:v>
                </c:pt>
                <c:pt idx="15">
                  <c:v>75–79</c:v>
                </c:pt>
                <c:pt idx="16">
                  <c:v>80–84</c:v>
                </c:pt>
                <c:pt idx="17">
                  <c:v>85–89</c:v>
                </c:pt>
                <c:pt idx="18">
                  <c:v>90–94</c:v>
                </c:pt>
                <c:pt idx="19">
                  <c:v>95+</c:v>
                </c:pt>
              </c:strCache>
            </c:strRef>
          </c:cat>
          <c:val>
            <c:numRef>
              <c:f>Sheet1!$B$2:$B$21</c:f>
              <c:numCache>
                <c:formatCode>0.0\ %</c:formatCode>
                <c:ptCount val="20"/>
                <c:pt idx="0">
                  <c:v>9.6075195669069002E-4</c:v>
                </c:pt>
                <c:pt idx="1">
                  <c:v>1.197370272988184E-3</c:v>
                </c:pt>
                <c:pt idx="2">
                  <c:v>2.0479723238162454E-3</c:v>
                </c:pt>
                <c:pt idx="3">
                  <c:v>2.7109115720635409E-3</c:v>
                </c:pt>
                <c:pt idx="4">
                  <c:v>3.7144996032563607E-3</c:v>
                </c:pt>
                <c:pt idx="5">
                  <c:v>5.4666990317007438E-3</c:v>
                </c:pt>
                <c:pt idx="6">
                  <c:v>7.9532311658959635E-3</c:v>
                </c:pt>
                <c:pt idx="7">
                  <c:v>1.4778445703235757E-2</c:v>
                </c:pt>
                <c:pt idx="8">
                  <c:v>3.0856252333036197E-2</c:v>
                </c:pt>
                <c:pt idx="9">
                  <c:v>4.5261412244181953E-2</c:v>
                </c:pt>
                <c:pt idx="10">
                  <c:v>7.0051260502487556E-2</c:v>
                </c:pt>
                <c:pt idx="11">
                  <c:v>9.2752340175546455E-2</c:v>
                </c:pt>
                <c:pt idx="12">
                  <c:v>0.14754375908991699</c:v>
                </c:pt>
                <c:pt idx="13">
                  <c:v>0.18698150501488042</c:v>
                </c:pt>
                <c:pt idx="14">
                  <c:v>0.17598895237240481</c:v>
                </c:pt>
                <c:pt idx="15">
                  <c:v>0.10824676026688933</c:v>
                </c:pt>
                <c:pt idx="16">
                  <c:v>6.1104640370756406E-2</c:v>
                </c:pt>
                <c:pt idx="17">
                  <c:v>3.2840990451635042E-2</c:v>
                </c:pt>
                <c:pt idx="18">
                  <c:v>8.4795029383507442E-3</c:v>
                </c:pt>
                <c:pt idx="19">
                  <c:v>1.0627426102671951E-3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DC-4682-9AA5-69E035CB3B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"/>
        <c:axId val="82629760"/>
        <c:axId val="82631680"/>
      </c:barChart>
      <c:catAx>
        <c:axId val="826297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s-CZ"/>
                  <a:t>Věk</a:t>
                </a:r>
              </a:p>
            </c:rich>
          </c:tx>
          <c:layout>
            <c:manualLayout>
              <c:xMode val="edge"/>
              <c:yMode val="edge"/>
              <c:x val="0.1060725278888959"/>
              <c:y val="0.7691184176131278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82631680"/>
        <c:crosses val="autoZero"/>
        <c:auto val="1"/>
        <c:lblAlgn val="ctr"/>
        <c:lblOffset val="100"/>
        <c:tickLblSkip val="1"/>
        <c:noMultiLvlLbl val="0"/>
      </c:catAx>
      <c:valAx>
        <c:axId val="82631680"/>
        <c:scaling>
          <c:orientation val="minMax"/>
          <c:max val="0.30000000000000027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cs-CZ"/>
                  <a:t>Podíl mužů</a:t>
                </a:r>
              </a:p>
            </c:rich>
          </c:tx>
          <c:layout>
            <c:manualLayout>
              <c:xMode val="edge"/>
              <c:yMode val="edge"/>
              <c:x val="1.2613286806526817E-2"/>
              <c:y val="0.1984938691573741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\ %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82629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 sz="1200">
          <a:solidFill>
            <a:schemeClr val="tx1"/>
          </a:solidFill>
        </a:defRPr>
      </a:pPr>
      <a:endParaRPr lang="cs-CZ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Populace ČR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Sheet1!$A$2:$A$82</c:f>
              <c:numCache>
                <c:formatCode>General</c:formatCode>
                <c:ptCount val="8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  <c:pt idx="31">
                  <c:v>31</c:v>
                </c:pt>
                <c:pt idx="32">
                  <c:v>32</c:v>
                </c:pt>
                <c:pt idx="33">
                  <c:v>33</c:v>
                </c:pt>
                <c:pt idx="34">
                  <c:v>34</c:v>
                </c:pt>
                <c:pt idx="35">
                  <c:v>35</c:v>
                </c:pt>
                <c:pt idx="36">
                  <c:v>36</c:v>
                </c:pt>
                <c:pt idx="37">
                  <c:v>37</c:v>
                </c:pt>
                <c:pt idx="38">
                  <c:v>38</c:v>
                </c:pt>
                <c:pt idx="39">
                  <c:v>39</c:v>
                </c:pt>
                <c:pt idx="40">
                  <c:v>40</c:v>
                </c:pt>
                <c:pt idx="41">
                  <c:v>41</c:v>
                </c:pt>
                <c:pt idx="42">
                  <c:v>42</c:v>
                </c:pt>
                <c:pt idx="43">
                  <c:v>43</c:v>
                </c:pt>
                <c:pt idx="44">
                  <c:v>44</c:v>
                </c:pt>
                <c:pt idx="45">
                  <c:v>45</c:v>
                </c:pt>
                <c:pt idx="46">
                  <c:v>46</c:v>
                </c:pt>
                <c:pt idx="47">
                  <c:v>47</c:v>
                </c:pt>
                <c:pt idx="48">
                  <c:v>48</c:v>
                </c:pt>
                <c:pt idx="49">
                  <c:v>49</c:v>
                </c:pt>
                <c:pt idx="50">
                  <c:v>50</c:v>
                </c:pt>
                <c:pt idx="51">
                  <c:v>51</c:v>
                </c:pt>
                <c:pt idx="52">
                  <c:v>52</c:v>
                </c:pt>
                <c:pt idx="53">
                  <c:v>53</c:v>
                </c:pt>
                <c:pt idx="54">
                  <c:v>54</c:v>
                </c:pt>
                <c:pt idx="55">
                  <c:v>55</c:v>
                </c:pt>
                <c:pt idx="56">
                  <c:v>56</c:v>
                </c:pt>
                <c:pt idx="57">
                  <c:v>57</c:v>
                </c:pt>
                <c:pt idx="58">
                  <c:v>58</c:v>
                </c:pt>
                <c:pt idx="59">
                  <c:v>59</c:v>
                </c:pt>
                <c:pt idx="60">
                  <c:v>60</c:v>
                </c:pt>
                <c:pt idx="61">
                  <c:v>61</c:v>
                </c:pt>
                <c:pt idx="62">
                  <c:v>62</c:v>
                </c:pt>
                <c:pt idx="63">
                  <c:v>63</c:v>
                </c:pt>
                <c:pt idx="64">
                  <c:v>64</c:v>
                </c:pt>
                <c:pt idx="65">
                  <c:v>65</c:v>
                </c:pt>
                <c:pt idx="66">
                  <c:v>66</c:v>
                </c:pt>
                <c:pt idx="67">
                  <c:v>67</c:v>
                </c:pt>
                <c:pt idx="68">
                  <c:v>68</c:v>
                </c:pt>
                <c:pt idx="69">
                  <c:v>69</c:v>
                </c:pt>
                <c:pt idx="70">
                  <c:v>70</c:v>
                </c:pt>
                <c:pt idx="71">
                  <c:v>71</c:v>
                </c:pt>
                <c:pt idx="72">
                  <c:v>72</c:v>
                </c:pt>
                <c:pt idx="73">
                  <c:v>73</c:v>
                </c:pt>
                <c:pt idx="74">
                  <c:v>74</c:v>
                </c:pt>
                <c:pt idx="75">
                  <c:v>75</c:v>
                </c:pt>
                <c:pt idx="76">
                  <c:v>76</c:v>
                </c:pt>
                <c:pt idx="77">
                  <c:v>77</c:v>
                </c:pt>
                <c:pt idx="78">
                  <c:v>78</c:v>
                </c:pt>
                <c:pt idx="79">
                  <c:v>79</c:v>
                </c:pt>
                <c:pt idx="80">
                  <c:v>80</c:v>
                </c:pt>
              </c:numCache>
            </c:numRef>
          </c:cat>
          <c:val>
            <c:numRef>
              <c:f>Sheet1!$B$2:$B$82</c:f>
              <c:numCache>
                <c:formatCode>General</c:formatCode>
                <c:ptCount val="81"/>
                <c:pt idx="0">
                  <c:v>79.075074999999657</c:v>
                </c:pt>
                <c:pt idx="1">
                  <c:v>78.297680000000227</c:v>
                </c:pt>
                <c:pt idx="2">
                  <c:v>77.318565000000007</c:v>
                </c:pt>
                <c:pt idx="3">
                  <c:v>76.330274000000003</c:v>
                </c:pt>
                <c:pt idx="4">
                  <c:v>75.341408999999999</c:v>
                </c:pt>
                <c:pt idx="5">
                  <c:v>74.347532000000001</c:v>
                </c:pt>
                <c:pt idx="6">
                  <c:v>73.352911999999989</c:v>
                </c:pt>
                <c:pt idx="7">
                  <c:v>72.358377999999433</c:v>
                </c:pt>
                <c:pt idx="8">
                  <c:v>71.366059000000007</c:v>
                </c:pt>
                <c:pt idx="9">
                  <c:v>70.370664000000005</c:v>
                </c:pt>
                <c:pt idx="10">
                  <c:v>69.373607999999948</c:v>
                </c:pt>
                <c:pt idx="11">
                  <c:v>68.376134999999948</c:v>
                </c:pt>
                <c:pt idx="12">
                  <c:v>67.383367999999948</c:v>
                </c:pt>
                <c:pt idx="13">
                  <c:v>66.388799999999989</c:v>
                </c:pt>
                <c:pt idx="14">
                  <c:v>65.397846000000001</c:v>
                </c:pt>
                <c:pt idx="15">
                  <c:v>64.408223000000419</c:v>
                </c:pt>
                <c:pt idx="16">
                  <c:v>63.416559000000007</c:v>
                </c:pt>
                <c:pt idx="17">
                  <c:v>62.426885999999996</c:v>
                </c:pt>
                <c:pt idx="18">
                  <c:v>61.441979999999994</c:v>
                </c:pt>
                <c:pt idx="19">
                  <c:v>60.469185000000003</c:v>
                </c:pt>
                <c:pt idx="20">
                  <c:v>59.494303000000002</c:v>
                </c:pt>
                <c:pt idx="21">
                  <c:v>58.518845999999996</c:v>
                </c:pt>
                <c:pt idx="22">
                  <c:v>57.545079000000001</c:v>
                </c:pt>
                <c:pt idx="23">
                  <c:v>56.574542000000001</c:v>
                </c:pt>
                <c:pt idx="24">
                  <c:v>55.603424000000004</c:v>
                </c:pt>
                <c:pt idx="25">
                  <c:v>54.631046000000005</c:v>
                </c:pt>
                <c:pt idx="26">
                  <c:v>53.658152000000179</c:v>
                </c:pt>
                <c:pt idx="27">
                  <c:v>52.681611000000004</c:v>
                </c:pt>
                <c:pt idx="28">
                  <c:v>51.710170000000012</c:v>
                </c:pt>
                <c:pt idx="29">
                  <c:v>50.739280000000001</c:v>
                </c:pt>
                <c:pt idx="30">
                  <c:v>49.762293000000113</c:v>
                </c:pt>
                <c:pt idx="31">
                  <c:v>48.794827000000005</c:v>
                </c:pt>
                <c:pt idx="32">
                  <c:v>47.825016000000012</c:v>
                </c:pt>
                <c:pt idx="33">
                  <c:v>46.850604999999995</c:v>
                </c:pt>
                <c:pt idx="34">
                  <c:v>45.879401999999999</c:v>
                </c:pt>
                <c:pt idx="35">
                  <c:v>44.909717000000001</c:v>
                </c:pt>
                <c:pt idx="36">
                  <c:v>43.947458999999995</c:v>
                </c:pt>
                <c:pt idx="37">
                  <c:v>42.988451000000005</c:v>
                </c:pt>
                <c:pt idx="38">
                  <c:v>42.030426999999996</c:v>
                </c:pt>
                <c:pt idx="39">
                  <c:v>41.067009000000006</c:v>
                </c:pt>
                <c:pt idx="40">
                  <c:v>40.102904000000002</c:v>
                </c:pt>
                <c:pt idx="41">
                  <c:v>39.147883999999998</c:v>
                </c:pt>
                <c:pt idx="42">
                  <c:v>38.194312000000224</c:v>
                </c:pt>
                <c:pt idx="43">
                  <c:v>37.243693</c:v>
                </c:pt>
                <c:pt idx="44">
                  <c:v>36.295116000000313</c:v>
                </c:pt>
                <c:pt idx="45">
                  <c:v>35.354136999999994</c:v>
                </c:pt>
                <c:pt idx="46">
                  <c:v>34.422889000000005</c:v>
                </c:pt>
                <c:pt idx="47">
                  <c:v>33.492816000000012</c:v>
                </c:pt>
                <c:pt idx="48">
                  <c:v>32.571559000000001</c:v>
                </c:pt>
                <c:pt idx="49">
                  <c:v>31.654641000000005</c:v>
                </c:pt>
                <c:pt idx="50">
                  <c:v>30.750146999999899</c:v>
                </c:pt>
                <c:pt idx="51">
                  <c:v>29.84634799999991</c:v>
                </c:pt>
                <c:pt idx="52">
                  <c:v>28.949099999999891</c:v>
                </c:pt>
                <c:pt idx="53">
                  <c:v>28.060208999999986</c:v>
                </c:pt>
                <c:pt idx="54">
                  <c:v>27.172172</c:v>
                </c:pt>
                <c:pt idx="55">
                  <c:v>26.289743999999835</c:v>
                </c:pt>
                <c:pt idx="56">
                  <c:v>25.42534199999988</c:v>
                </c:pt>
                <c:pt idx="57">
                  <c:v>24.568017999999903</c:v>
                </c:pt>
                <c:pt idx="58">
                  <c:v>23.728179999999899</c:v>
                </c:pt>
                <c:pt idx="59">
                  <c:v>22.919363000000001</c:v>
                </c:pt>
                <c:pt idx="60">
                  <c:v>22.104237000000001</c:v>
                </c:pt>
                <c:pt idx="61">
                  <c:v>21.292093999999903</c:v>
                </c:pt>
                <c:pt idx="62">
                  <c:v>20.499963999999999</c:v>
                </c:pt>
                <c:pt idx="63">
                  <c:v>19.713588999999999</c:v>
                </c:pt>
                <c:pt idx="64">
                  <c:v>18.95143399999991</c:v>
                </c:pt>
                <c:pt idx="65">
                  <c:v>18.190301999999999</c:v>
                </c:pt>
                <c:pt idx="66">
                  <c:v>17.452503999999884</c:v>
                </c:pt>
                <c:pt idx="67">
                  <c:v>16.711580000000001</c:v>
                </c:pt>
                <c:pt idx="68">
                  <c:v>15.992059000000006</c:v>
                </c:pt>
                <c:pt idx="69">
                  <c:v>15.293969000000001</c:v>
                </c:pt>
                <c:pt idx="70">
                  <c:v>14.592295</c:v>
                </c:pt>
                <c:pt idx="71">
                  <c:v>13.879913</c:v>
                </c:pt>
                <c:pt idx="72">
                  <c:v>13.222002</c:v>
                </c:pt>
                <c:pt idx="73">
                  <c:v>12.559054000000026</c:v>
                </c:pt>
                <c:pt idx="74">
                  <c:v>11.895090000000026</c:v>
                </c:pt>
                <c:pt idx="75">
                  <c:v>11.255104000000006</c:v>
                </c:pt>
                <c:pt idx="76">
                  <c:v>10.611643000000001</c:v>
                </c:pt>
                <c:pt idx="77">
                  <c:v>9.988195000000001</c:v>
                </c:pt>
                <c:pt idx="78">
                  <c:v>9.3918980000000012</c:v>
                </c:pt>
                <c:pt idx="79">
                  <c:v>8.8019430000000014</c:v>
                </c:pt>
                <c:pt idx="80">
                  <c:v>8.227020999999997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D30-478D-B735-7A82CA48CB6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Pacienti s DM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Sheet1!$A$2:$A$82</c:f>
              <c:numCache>
                <c:formatCode>General</c:formatCode>
                <c:ptCount val="8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  <c:pt idx="31">
                  <c:v>31</c:v>
                </c:pt>
                <c:pt idx="32">
                  <c:v>32</c:v>
                </c:pt>
                <c:pt idx="33">
                  <c:v>33</c:v>
                </c:pt>
                <c:pt idx="34">
                  <c:v>34</c:v>
                </c:pt>
                <c:pt idx="35">
                  <c:v>35</c:v>
                </c:pt>
                <c:pt idx="36">
                  <c:v>36</c:v>
                </c:pt>
                <c:pt idx="37">
                  <c:v>37</c:v>
                </c:pt>
                <c:pt idx="38">
                  <c:v>38</c:v>
                </c:pt>
                <c:pt idx="39">
                  <c:v>39</c:v>
                </c:pt>
                <c:pt idx="40">
                  <c:v>40</c:v>
                </c:pt>
                <c:pt idx="41">
                  <c:v>41</c:v>
                </c:pt>
                <c:pt idx="42">
                  <c:v>42</c:v>
                </c:pt>
                <c:pt idx="43">
                  <c:v>43</c:v>
                </c:pt>
                <c:pt idx="44">
                  <c:v>44</c:v>
                </c:pt>
                <c:pt idx="45">
                  <c:v>45</c:v>
                </c:pt>
                <c:pt idx="46">
                  <c:v>46</c:v>
                </c:pt>
                <c:pt idx="47">
                  <c:v>47</c:v>
                </c:pt>
                <c:pt idx="48">
                  <c:v>48</c:v>
                </c:pt>
                <c:pt idx="49">
                  <c:v>49</c:v>
                </c:pt>
                <c:pt idx="50">
                  <c:v>50</c:v>
                </c:pt>
                <c:pt idx="51">
                  <c:v>51</c:v>
                </c:pt>
                <c:pt idx="52">
                  <c:v>52</c:v>
                </c:pt>
                <c:pt idx="53">
                  <c:v>53</c:v>
                </c:pt>
                <c:pt idx="54">
                  <c:v>54</c:v>
                </c:pt>
                <c:pt idx="55">
                  <c:v>55</c:v>
                </c:pt>
                <c:pt idx="56">
                  <c:v>56</c:v>
                </c:pt>
                <c:pt idx="57">
                  <c:v>57</c:v>
                </c:pt>
                <c:pt idx="58">
                  <c:v>58</c:v>
                </c:pt>
                <c:pt idx="59">
                  <c:v>59</c:v>
                </c:pt>
                <c:pt idx="60">
                  <c:v>60</c:v>
                </c:pt>
                <c:pt idx="61">
                  <c:v>61</c:v>
                </c:pt>
                <c:pt idx="62">
                  <c:v>62</c:v>
                </c:pt>
                <c:pt idx="63">
                  <c:v>63</c:v>
                </c:pt>
                <c:pt idx="64">
                  <c:v>64</c:v>
                </c:pt>
                <c:pt idx="65">
                  <c:v>65</c:v>
                </c:pt>
                <c:pt idx="66">
                  <c:v>66</c:v>
                </c:pt>
                <c:pt idx="67">
                  <c:v>67</c:v>
                </c:pt>
                <c:pt idx="68">
                  <c:v>68</c:v>
                </c:pt>
                <c:pt idx="69">
                  <c:v>69</c:v>
                </c:pt>
                <c:pt idx="70">
                  <c:v>70</c:v>
                </c:pt>
                <c:pt idx="71">
                  <c:v>71</c:v>
                </c:pt>
                <c:pt idx="72">
                  <c:v>72</c:v>
                </c:pt>
                <c:pt idx="73">
                  <c:v>73</c:v>
                </c:pt>
                <c:pt idx="74">
                  <c:v>74</c:v>
                </c:pt>
                <c:pt idx="75">
                  <c:v>75</c:v>
                </c:pt>
                <c:pt idx="76">
                  <c:v>76</c:v>
                </c:pt>
                <c:pt idx="77">
                  <c:v>77</c:v>
                </c:pt>
                <c:pt idx="78">
                  <c:v>78</c:v>
                </c:pt>
                <c:pt idx="79">
                  <c:v>79</c:v>
                </c:pt>
                <c:pt idx="80">
                  <c:v>80</c:v>
                </c:pt>
              </c:numCache>
            </c:numRef>
          </c:cat>
          <c:val>
            <c:numRef>
              <c:f>Sheet1!$C$2:$C$82</c:f>
              <c:numCache>
                <c:formatCode>General</c:formatCode>
                <c:ptCount val="81"/>
                <c:pt idx="0">
                  <c:v>71.185722999999541</c:v>
                </c:pt>
                <c:pt idx="1">
                  <c:v>70.683285999999981</c:v>
                </c:pt>
                <c:pt idx="2">
                  <c:v>71.115597999999949</c:v>
                </c:pt>
                <c:pt idx="3">
                  <c:v>70.115597999999949</c:v>
                </c:pt>
                <c:pt idx="4">
                  <c:v>69.115597999999949</c:v>
                </c:pt>
                <c:pt idx="5">
                  <c:v>68.115597999999949</c:v>
                </c:pt>
                <c:pt idx="6">
                  <c:v>67.115597999999949</c:v>
                </c:pt>
                <c:pt idx="7">
                  <c:v>66.115597999999949</c:v>
                </c:pt>
                <c:pt idx="8">
                  <c:v>65.115597999999949</c:v>
                </c:pt>
                <c:pt idx="9">
                  <c:v>64.339568999999983</c:v>
                </c:pt>
                <c:pt idx="10">
                  <c:v>63.339569000000004</c:v>
                </c:pt>
                <c:pt idx="11">
                  <c:v>62.339569000000004</c:v>
                </c:pt>
                <c:pt idx="12">
                  <c:v>61.504693999999994</c:v>
                </c:pt>
                <c:pt idx="13">
                  <c:v>60.662943000000013</c:v>
                </c:pt>
                <c:pt idx="14">
                  <c:v>59.662943000000013</c:v>
                </c:pt>
                <c:pt idx="15">
                  <c:v>58.662943000000013</c:v>
                </c:pt>
                <c:pt idx="16">
                  <c:v>57.788159000000164</c:v>
                </c:pt>
                <c:pt idx="17">
                  <c:v>57.066933000000013</c:v>
                </c:pt>
                <c:pt idx="18">
                  <c:v>56.179729000000002</c:v>
                </c:pt>
                <c:pt idx="19">
                  <c:v>55.179729000000002</c:v>
                </c:pt>
                <c:pt idx="20">
                  <c:v>54.415247999999998</c:v>
                </c:pt>
                <c:pt idx="21">
                  <c:v>53.557504999999999</c:v>
                </c:pt>
                <c:pt idx="22">
                  <c:v>52.689161000000006</c:v>
                </c:pt>
                <c:pt idx="23">
                  <c:v>51.929941000000007</c:v>
                </c:pt>
                <c:pt idx="24">
                  <c:v>51.133021000000006</c:v>
                </c:pt>
                <c:pt idx="25">
                  <c:v>50.172563000000011</c:v>
                </c:pt>
                <c:pt idx="26">
                  <c:v>49.283151000000011</c:v>
                </c:pt>
                <c:pt idx="27">
                  <c:v>48.378276</c:v>
                </c:pt>
                <c:pt idx="28">
                  <c:v>47.434537000000006</c:v>
                </c:pt>
                <c:pt idx="29">
                  <c:v>46.584726999999994</c:v>
                </c:pt>
                <c:pt idx="30">
                  <c:v>45.675669000000006</c:v>
                </c:pt>
                <c:pt idx="31">
                  <c:v>44.859019999999994</c:v>
                </c:pt>
                <c:pt idx="32">
                  <c:v>43.953180999999994</c:v>
                </c:pt>
                <c:pt idx="33">
                  <c:v>43.113688999999994</c:v>
                </c:pt>
                <c:pt idx="34">
                  <c:v>42.246030000000012</c:v>
                </c:pt>
                <c:pt idx="35">
                  <c:v>41.357246999999944</c:v>
                </c:pt>
                <c:pt idx="36">
                  <c:v>40.444547999999998</c:v>
                </c:pt>
                <c:pt idx="37">
                  <c:v>39.512493000000006</c:v>
                </c:pt>
                <c:pt idx="38">
                  <c:v>38.612301000000002</c:v>
                </c:pt>
                <c:pt idx="39">
                  <c:v>37.729390000000194</c:v>
                </c:pt>
                <c:pt idx="40">
                  <c:v>36.910415</c:v>
                </c:pt>
                <c:pt idx="41">
                  <c:v>36.002625000000002</c:v>
                </c:pt>
                <c:pt idx="42">
                  <c:v>35.156237000000004</c:v>
                </c:pt>
                <c:pt idx="43">
                  <c:v>34.316188999999994</c:v>
                </c:pt>
                <c:pt idx="44">
                  <c:v>33.445102000000013</c:v>
                </c:pt>
                <c:pt idx="45">
                  <c:v>32.593541000000002</c:v>
                </c:pt>
                <c:pt idx="46">
                  <c:v>31.735032999999891</c:v>
                </c:pt>
                <c:pt idx="47">
                  <c:v>30.896381000000005</c:v>
                </c:pt>
                <c:pt idx="48">
                  <c:v>30.050265000000035</c:v>
                </c:pt>
                <c:pt idx="49">
                  <c:v>29.264073</c:v>
                </c:pt>
                <c:pt idx="50">
                  <c:v>28.477112999999989</c:v>
                </c:pt>
                <c:pt idx="51">
                  <c:v>27.677643</c:v>
                </c:pt>
                <c:pt idx="52">
                  <c:v>26.848555000000001</c:v>
                </c:pt>
                <c:pt idx="53">
                  <c:v>26.076352</c:v>
                </c:pt>
                <c:pt idx="54">
                  <c:v>25.311967000000141</c:v>
                </c:pt>
                <c:pt idx="55">
                  <c:v>24.541934999999999</c:v>
                </c:pt>
                <c:pt idx="56">
                  <c:v>23.774398999999999</c:v>
                </c:pt>
                <c:pt idx="57">
                  <c:v>23.04062199999991</c:v>
                </c:pt>
                <c:pt idx="58">
                  <c:v>22.293144000000002</c:v>
                </c:pt>
                <c:pt idx="59">
                  <c:v>21.523701999999989</c:v>
                </c:pt>
                <c:pt idx="60">
                  <c:v>20.775536999999868</c:v>
                </c:pt>
                <c:pt idx="61">
                  <c:v>20.054207000000005</c:v>
                </c:pt>
                <c:pt idx="62">
                  <c:v>19.331047000000005</c:v>
                </c:pt>
                <c:pt idx="63">
                  <c:v>18.629595999999999</c:v>
                </c:pt>
                <c:pt idx="64">
                  <c:v>17.94104499999991</c:v>
                </c:pt>
                <c:pt idx="65">
                  <c:v>17.255576999999906</c:v>
                </c:pt>
                <c:pt idx="66">
                  <c:v>16.558039999999899</c:v>
                </c:pt>
                <c:pt idx="67">
                  <c:v>15.900606000000026</c:v>
                </c:pt>
                <c:pt idx="68">
                  <c:v>15.218235999999999</c:v>
                </c:pt>
                <c:pt idx="69">
                  <c:v>14.557502000000024</c:v>
                </c:pt>
                <c:pt idx="70">
                  <c:v>13.923372000000001</c:v>
                </c:pt>
                <c:pt idx="71">
                  <c:v>13.274313999999999</c:v>
                </c:pt>
                <c:pt idx="72">
                  <c:v>12.675509000000046</c:v>
                </c:pt>
                <c:pt idx="73">
                  <c:v>12.064176</c:v>
                </c:pt>
                <c:pt idx="74">
                  <c:v>11.465490000000065</c:v>
                </c:pt>
                <c:pt idx="75">
                  <c:v>10.881203000000001</c:v>
                </c:pt>
                <c:pt idx="76">
                  <c:v>10.319827</c:v>
                </c:pt>
                <c:pt idx="77">
                  <c:v>9.7456509999999987</c:v>
                </c:pt>
                <c:pt idx="78">
                  <c:v>9.1711340000000003</c:v>
                </c:pt>
                <c:pt idx="79">
                  <c:v>8.6125850000000028</c:v>
                </c:pt>
                <c:pt idx="80">
                  <c:v>8.0864630000000002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D30-478D-B735-7A82CA48CB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7580672"/>
        <c:axId val="217582208"/>
      </c:lineChart>
      <c:catAx>
        <c:axId val="2175806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217582208"/>
        <c:crosses val="autoZero"/>
        <c:auto val="1"/>
        <c:lblAlgn val="ctr"/>
        <c:lblOffset val="100"/>
        <c:tickLblSkip val="5"/>
        <c:noMultiLvlLbl val="0"/>
      </c:catAx>
      <c:valAx>
        <c:axId val="2175822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217580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</c:chart>
  <c:spPr>
    <a:noFill/>
    <a:ln>
      <a:noFill/>
    </a:ln>
    <a:effectLst/>
  </c:spPr>
  <c:txPr>
    <a:bodyPr/>
    <a:lstStyle/>
    <a:p>
      <a:pPr>
        <a:defRPr/>
      </a:pPr>
      <a:endParaRPr lang="cs-CZ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545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Radka Lejčková</dc:creator>
  <cp:keywords/>
  <dc:description/>
  <cp:lastModifiedBy>Radka Lejčková</cp:lastModifiedBy>
  <cp:revision>4</cp:revision>
  <cp:lastPrinted>2019-01-30T09:27:00Z</cp:lastPrinted>
  <dcterms:created xsi:type="dcterms:W3CDTF">2019-01-28T16:55:00Z</dcterms:created>
  <dcterms:modified xsi:type="dcterms:W3CDTF">2019-01-30T09:35:00Z</dcterms:modified>
</cp:coreProperties>
</file>